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360"/>
      </w:pPr>
      <w:r>
        <w:drawing>
          <wp:inline xmlns:a="http://schemas.openxmlformats.org/drawingml/2006/main" xmlns:pic="http://schemas.openxmlformats.org/drawingml/2006/picture">
            <wp:extent cx="810000" cy="810000"/>
            <wp:docPr id="1" name="Picture 1" descr="Signet Nicolas Glesel – OSINT &amp; Digital Security" title="Nicolas Glesel"/>
            <wp:cNvGraphicFramePr>
              <a:graphicFrameLocks noChangeAspect="1"/>
            </wp:cNvGraphicFramePr>
            <a:graphic>
              <a:graphicData uri="http://schemas.openxmlformats.org/drawingml/2006/picture">
                <pic:pic>
                  <pic:nvPicPr>
                    <pic:cNvPr id="0" name="icon-512.png"/>
                    <pic:cNvPicPr/>
                  </pic:nvPicPr>
                  <pic:blipFill>
                    <a:blip r:embed="rId11"/>
                    <a:stretch>
                      <a:fillRect/>
                    </a:stretch>
                  </pic:blipFill>
                  <pic:spPr>
                    <a:xfrm>
                      <a:off x="0" y="0"/>
                      <a:ext cx="810000" cy="810000"/>
                    </a:xfrm>
                    <a:prstGeom prst="rect"/>
                  </pic:spPr>
                </pic:pic>
              </a:graphicData>
            </a:graphic>
          </wp:inline>
        </w:drawing>
      </w:r>
    </w:p>
    <w:p>
      <w:pPr>
        <w:keepNext w:val="0"/>
        <w:spacing w:before="0" w:after="160" w:line="278" w:lineRule="auto"/>
        <w:jc w:val="left"/>
      </w:pPr>
      <w:r>
        <w:rPr>
          <w:rFonts w:ascii="DejaVu Sans" w:hAnsi="DejaVu Sans"/>
          <w:b/>
          <w:i w:val="0"/>
          <w:color w:val="315EFB"/>
          <w:sz w:val="15"/>
        </w:rPr>
        <w:t>MANDANTENUNTERLAGE · MUSTER</w:t>
      </w:r>
    </w:p>
    <w:p>
      <w:pPr>
        <w:spacing w:before="40" w:after="80"/>
      </w:pPr>
      <w:r>
        <w:rPr>
          <w:rFonts w:ascii="DejaVu Sans" w:hAnsi="DejaVu Sans"/>
          <w:b/>
          <w:i w:val="0"/>
          <w:color w:val="101624"/>
          <w:sz w:val="50"/>
        </w:rPr>
        <w:t>Auftrags- und Freigabebogen</w:t>
      </w:r>
    </w:p>
    <w:p>
      <w:pPr>
        <w:spacing w:after="360"/>
      </w:pPr>
      <w:r>
        <w:rPr>
          <w:rFonts w:ascii="DejaVu Sans" w:hAnsi="DejaVu Sans"/>
          <w:b w:val="0"/>
          <w:i w:val="0"/>
          <w:color w:val="5E6875"/>
          <w:sz w:val="25"/>
        </w:rPr>
        <w:t>Pre-Employment Screening · Prüfrahmen, Datenschutz und DSFA-Schwelle</w:t>
      </w:r>
    </w:p>
    <w:p>
      <w:pPr>
        <w:keepNext w:val="0"/>
        <w:spacing w:before="0" w:after="280" w:line="269" w:lineRule="auto"/>
        <w:jc w:val="left"/>
      </w:pPr>
      <w:r>
        <w:rPr>
          <w:rFonts w:ascii="DejaVu Sans" w:hAnsi="DejaVu Sans"/>
          <w:b/>
          <w:i w:val="0"/>
          <w:color w:val="101624"/>
          <w:sz w:val="29"/>
        </w:rPr>
        <w:t>Für eine dokumentierte, zweckgebundene und verhältnismäßige Prüfung vor der Einstellung.</w:t>
      </w:r>
    </w:p>
    <w:tbl>
      <w:tblPr>
        <w:tblW w:type="auto" w:w="0"/>
        <w:jc w:val="center"/>
        <w:tblLayout w:type="fixed"/>
        <w:tblLook w:firstColumn="1" w:firstRow="1" w:lastColumn="0" w:lastRow="0" w:noHBand="0" w:noVBand="1" w:val="04A0"/>
      </w:tblPr>
      <w:tblGrid>
        <w:gridCol w:w="9978"/>
      </w:tblGrid>
      <w:tr>
        <w:tc>
          <w:tcPr>
            <w:tcW w:type="dxa" w:w="9978"/>
            <w:shd w:fill="F1F4F8"/>
            <w:tcBorders>
              <w:top w:val="single" w:sz="7" w:color="D7DDE5"/>
              <w:left w:val="single" w:sz="7" w:color="D7DDE5"/>
              <w:bottom w:val="single" w:sz="7" w:color="D7DDE5"/>
              <w:right w:val="single" w:sz="7" w:color="D7DDE5"/>
              <w:insideH w:val="single" w:sz="7" w:color="D7DDE5"/>
              <w:insideV w:val="single" w:sz="7" w:color="D7DDE5"/>
            </w:tcBorders>
            <w:tcMar>
              <w:top w:w="170" w:type="dxa"/>
              <w:start w:w="190" w:type="dxa"/>
              <w:bottom w:w="170" w:type="dxa"/>
              <w:end w:w="190" w:type="dxa"/>
            </w:tcMar>
          </w:tcPr>
          <w:p>
            <w:pPr>
              <w:spacing w:after="60"/>
            </w:pPr>
            <w:r>
              <w:rPr>
                <w:rFonts w:ascii="DejaVu Sans" w:hAnsi="DejaVu Sans"/>
                <w:b/>
                <w:i w:val="0"/>
                <w:color w:val="101624"/>
                <w:sz w:val="18"/>
              </w:rPr>
              <w:t>Wofür dieses Dokument gedacht ist</w:t>
            </w:r>
          </w:p>
          <w:p>
            <w:pPr>
              <w:spacing w:after="0" w:line="283" w:lineRule="auto"/>
            </w:pPr>
            <w:r>
              <w:rPr>
                <w:rFonts w:ascii="DejaVu Sans" w:hAnsi="DejaVu Sans"/>
                <w:b w:val="0"/>
                <w:i w:val="0"/>
                <w:color w:val="11131A"/>
                <w:sz w:val="17"/>
              </w:rPr>
              <w:t>Der Auftraggeber dokumentiert vor Beginn Zweck, Erforderlichkeit, Rollen, Rechtsgrundlage, zulässige Quellen, Ausschlüsse, Transparenz, Empfänger, Löschung und Sicherheitsmaßnahmen. Der Bogen ist zugleich Arbeitsfreigabe für Nicolas Glesel und Nachweis der menschlichen Entscheidungskontrolle.</w:t>
            </w:r>
          </w:p>
        </w:tc>
      </w:tr>
    </w:tbl>
    <w:p>
      <w:pPr>
        <w:keepNext w:val="0"/>
        <w:spacing w:before="0" w:after="60" w:line="278" w:lineRule="auto"/>
        <w:jc w:val="left"/>
      </w:pPr>
    </w:p>
    <w:tbl>
      <w:tblPr>
        <w:tblW w:type="auto" w:w="0"/>
        <w:jc w:val="center"/>
        <w:tblLayout w:type="fixed"/>
        <w:tblLook w:firstColumn="1" w:firstRow="1" w:lastColumn="0" w:lastRow="0" w:noHBand="0" w:noVBand="1" w:val="04A0"/>
      </w:tblPr>
      <w:tblGrid>
        <w:gridCol w:w="9978"/>
      </w:tblGrid>
      <w:tr>
        <w:tc>
          <w:tcPr>
            <w:tcW w:type="dxa" w:w="9978"/>
            <w:shd w:fill="FFF5D9"/>
            <w:tcBorders>
              <w:top w:val="single" w:sz="7" w:color="E6D6A6"/>
              <w:left w:val="single" w:sz="7" w:color="E6D6A6"/>
              <w:bottom w:val="single" w:sz="7" w:color="E6D6A6"/>
              <w:right w:val="single" w:sz="7" w:color="E6D6A6"/>
              <w:insideH w:val="single" w:sz="7" w:color="E6D6A6"/>
              <w:insideV w:val="single" w:sz="7" w:color="E6D6A6"/>
            </w:tcBorders>
            <w:tcMar>
              <w:top w:w="170" w:type="dxa"/>
              <w:start w:w="190" w:type="dxa"/>
              <w:bottom w:w="170" w:type="dxa"/>
              <w:end w:w="190" w:type="dxa"/>
            </w:tcMar>
          </w:tcPr>
          <w:p>
            <w:pPr>
              <w:spacing w:after="60"/>
            </w:pPr>
            <w:r>
              <w:rPr>
                <w:rFonts w:ascii="DejaVu Sans" w:hAnsi="DejaVu Sans"/>
                <w:b/>
                <w:i w:val="0"/>
                <w:color w:val="101624"/>
                <w:sz w:val="18"/>
              </w:rPr>
              <w:t>Wichtiger Nutzungshinweis</w:t>
            </w:r>
          </w:p>
          <w:p>
            <w:pPr>
              <w:spacing w:after="0" w:line="283" w:lineRule="auto"/>
            </w:pPr>
            <w:r>
              <w:rPr>
                <w:rFonts w:ascii="DejaVu Sans" w:hAnsi="DejaVu Sans"/>
                <w:b w:val="0"/>
                <w:i w:val="0"/>
                <w:color w:val="11131A"/>
                <w:sz w:val="17"/>
              </w:rPr>
              <w:t>Das Muster ersetzt keine Prüfung des Einzelfalls durch die verantwortliche Rechts- oder Datenschutzfunktion. Ein ausgefüllter Bogen mit Bewerberdaten darf nicht unverschlüsselt per normaler E-Mail versandt werden. Vor dem Austausch personenbezogener Falldaten wird ein sicherer Übermittlungsweg vereinbart.</w:t>
            </w:r>
          </w:p>
        </w:tc>
      </w:tr>
    </w:tbl>
    <w:p>
      <w:pPr>
        <w:keepNext w:val="0"/>
        <w:spacing w:before="0" w:after="60" w:line="278" w:lineRule="auto"/>
        <w:jc w:val="left"/>
      </w:pPr>
    </w:p>
    <w:tbl>
      <w:tblPr>
        <w:tblW w:type="auto" w:w="0"/>
        <w:jc w:val="center"/>
        <w:tblLayout w:type="fixed"/>
        <w:tblLook w:firstColumn="1" w:firstRow="1" w:lastColumn="0" w:lastRow="0" w:noHBand="0" w:noVBand="1" w:val="04A0"/>
      </w:tblPr>
      <w:tblGrid>
        <w:gridCol w:w="4989"/>
        <w:gridCol w:w="4989"/>
      </w:tblGrid>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Auftraggeber</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Bitte Organisation eintragen</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Projekt-/Vorgangsnummer</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Pseudonyme interne Referenz</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Verantwortliche Person</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Name, Funktion, Kontaktdaten</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Geplante Prüfung</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Position / Land / gewünschter Abschluss</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Dokumentversion</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Version und Freigabedatum</w:t>
            </w:r>
          </w:p>
        </w:tc>
      </w:tr>
    </w:tbl>
    <w:p>
      <w:pPr>
        <w:keepNext w:val="0"/>
        <w:spacing w:before="0" w:after="60" w:line="278" w:lineRule="auto"/>
        <w:jc w:val="left"/>
      </w:pPr>
    </w:p>
    <w:p>
      <w:pPr>
        <w:keepNext w:val="0"/>
        <w:spacing w:before="80" w:after="80" w:line="278" w:lineRule="auto"/>
        <w:jc w:val="left"/>
      </w:pPr>
      <w:r>
        <w:rPr>
          <w:rFonts w:ascii="DejaVu Sans" w:hAnsi="DejaVu Sans"/>
          <w:b/>
          <w:i w:val="0"/>
          <w:color w:val="315EFB"/>
          <w:sz w:val="16"/>
        </w:rPr>
        <w:t>Dokumentenpaket</w:t>
      </w:r>
    </w:p>
    <w:tbl>
      <w:tblPr>
        <w:tblW w:type="auto" w:w="0"/>
        <w:jc w:val="center"/>
        <w:tblLayout w:type="fixed"/>
        <w:tblLook w:firstColumn="1" w:firstRow="1" w:lastColumn="0" w:lastRow="0" w:noHBand="0" w:noVBand="1" w:val="04A0"/>
      </w:tblPr>
      <w:tblGrid>
        <w:gridCol w:w="4989"/>
        <w:gridCol w:w="4989"/>
      </w:tblGrid>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Teil A: Auftrags- und Prüfrahmen</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Teil B: Datenschutz- und Sicherheitsfreigabe</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Teil C: DSFA-Schwellenprüfung und Abschlussfreigabe</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Anlage: Musterinformation für Bewerbende nach Art. 14 DSGVO</w:t>
            </w:r>
          </w:p>
        </w:tc>
      </w:tr>
    </w:tbl>
    <w:p>
      <w:pPr>
        <w:keepNext w:val="0"/>
        <w:spacing w:before="0" w:after="40" w:line="278" w:lineRule="auto"/>
        <w:jc w:val="left"/>
      </w:pPr>
    </w:p>
    <w:p>
      <w:r>
        <w:br w:type="page"/>
      </w:r>
    </w:p>
    <w:p>
      <w:pPr>
        <w:keepNext/>
        <w:spacing w:before="160" w:after="60"/>
      </w:pPr>
      <w:r>
        <w:rPr>
          <w:rFonts w:ascii="DejaVu Sans" w:hAnsi="DejaVu Sans"/>
          <w:b/>
          <w:i w:val="0"/>
          <w:color w:val="315EFB"/>
          <w:sz w:val="14"/>
        </w:rPr>
        <w:t>01 · DOKUMENTSTEUERUNG</w:t>
      </w:r>
    </w:p>
    <w:p>
      <w:pPr>
        <w:keepNext/>
        <w:spacing w:after="120"/>
      </w:pPr>
      <w:r>
        <w:rPr>
          <w:rFonts w:ascii="DejaVu Sans" w:hAnsi="DejaVu Sans"/>
          <w:b/>
          <w:i w:val="0"/>
          <w:color w:val="101624"/>
          <w:sz w:val="33"/>
        </w:rPr>
        <w:t>Auftrag, Beteiligte und Rollen</w:t>
      </w:r>
    </w:p>
    <w:p>
      <w:pPr>
        <w:keepNext w:val="0"/>
        <w:spacing w:before="0" w:after="180" w:line="293" w:lineRule="auto"/>
        <w:jc w:val="left"/>
      </w:pPr>
      <w:r>
        <w:rPr>
          <w:rFonts w:ascii="DejaVu Sans" w:hAnsi="DejaVu Sans"/>
          <w:b w:val="0"/>
          <w:i w:val="0"/>
          <w:color w:val="5E6875"/>
          <w:sz w:val="18"/>
        </w:rPr>
        <w:t>Nur vollständig freigegebene Aufträge gehen in die Recherche. Offene Rechts- oder Rollenfragen stoppen den Beginn.</w:t>
      </w:r>
    </w:p>
    <w:tbl>
      <w:tblPr>
        <w:tblW w:type="auto" w:w="0"/>
        <w:jc w:val="center"/>
        <w:tblLayout w:type="fixed"/>
        <w:tblLook w:firstColumn="1" w:firstRow="1" w:lastColumn="0" w:lastRow="0" w:noHBand="0" w:noVBand="1" w:val="04A0"/>
      </w:tblPr>
      <w:tblGrid>
        <w:gridCol w:w="4989"/>
        <w:gridCol w:w="4989"/>
      </w:tblGrid>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Organisation / Rechtsträger</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Vollständiger Name und Anschrift</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Fachlich Verantwortliche:r</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Name, Funktion, E-Mail, Telefon</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HR-Verantwortliche:r</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Name, Funktion, E-Mail</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Datenschutz / Legal</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Name oder zuständige Stelle</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Datenschutzbeauftragte:r</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Kontaktdaten / nicht bestellt</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Betriebs-/Personalrat</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Beteiligung erforderlich? Status / Datum</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Auftragnehmer</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Nicolas Glesel · kontakt@nicolasglesel.de</w:t>
            </w:r>
          </w:p>
        </w:tc>
      </w:tr>
    </w:tbl>
    <w:p>
      <w:pPr>
        <w:keepNext w:val="0"/>
        <w:spacing w:before="0" w:after="60" w:line="278" w:lineRule="auto"/>
        <w:jc w:val="left"/>
      </w:pPr>
    </w:p>
    <w:p>
      <w:pPr>
        <w:keepNext/>
        <w:spacing w:before="100" w:after="80" w:line="278" w:lineRule="auto"/>
        <w:jc w:val="left"/>
      </w:pPr>
      <w:r>
        <w:rPr>
          <w:rFonts w:ascii="DejaVu Sans" w:hAnsi="DejaVu Sans"/>
          <w:b/>
          <w:i w:val="0"/>
          <w:color w:val="101624"/>
          <w:sz w:val="21"/>
        </w:rPr>
        <w:t>Rollenfestlegung nach DSGVO</w:t>
      </w:r>
    </w:p>
    <w:tbl>
      <w:tblPr>
        <w:tblW w:type="auto" w:w="0"/>
        <w:jc w:val="center"/>
        <w:tblLayout w:type="fixed"/>
        <w:tblLook w:firstColumn="1" w:firstRow="1" w:lastColumn="0" w:lastRow="0" w:noHBand="0" w:noVBand="1" w:val="04A0"/>
      </w:tblPr>
      <w:tblGrid>
        <w:gridCol w:w="4989"/>
        <w:gridCol w:w="4989"/>
      </w:tblGrid>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Der Auftraggeber ist Verantwortlicher; Nicolas Glesel verarbeitet ausschließlich nach dokumentierter Weisung als Auftragsverarbeiter. Ein Vertrag nach Art. 28 DSGVO liegt vor.</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Abweichende Rollenverteilung (eigene oder gemeinsame Verantwortlichkeit) wurde schriftlich rechtlich bewertet und als Anlage beigefügt.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Zwecke und wesentliche Mittel werden nicht eigenmächtig durch den Auftragnehmer erweitert. Zweckänderungen bedürfen einer neuen Freigabe.</w:t>
            </w:r>
          </w:p>
        </w:tc>
      </w:tr>
    </w:tbl>
    <w:p>
      <w:pPr>
        <w:keepNext w:val="0"/>
        <w:spacing w:before="0" w:after="100" w:line="278" w:lineRule="auto"/>
        <w:jc w:val="left"/>
      </w:pPr>
      <w:r>
        <w:rPr>
          <w:rFonts w:ascii="DejaVu Sans" w:hAnsi="DejaVu Sans"/>
          <w:b w:val="0"/>
          <w:i/>
          <w:color w:val="5E6875"/>
          <w:sz w:val="15"/>
        </w:rPr>
        <w:t>Im Regelfall ist der Arbeitgeber Verantwortlicher. Die Bezeichnung im Vertrag allein entscheidet nicht; maßgeblich sind die tatsächlichen Zwecke und Entscheidungskompetenzen.</w:t>
      </w:r>
    </w:p>
    <w:tbl>
      <w:tblPr>
        <w:tblW w:type="auto" w:w="0"/>
        <w:jc w:val="center"/>
        <w:tblLayout w:type="fixed"/>
        <w:tblLook w:firstColumn="1" w:firstRow="1" w:lastColumn="0" w:lastRow="0" w:noHBand="0" w:noVBand="1" w:val="04A0"/>
      </w:tblPr>
      <w:tblGrid>
        <w:gridCol w:w="4989"/>
        <w:gridCol w:w="4989"/>
      </w:tblGrid>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Rollenentscheidung freigegeben durch</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Name, Funktion, Datum</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Art.-28-Vertrag / Anlage</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Dokumentname, Version, Datum</w:t>
            </w:r>
          </w:p>
        </w:tc>
      </w:tr>
    </w:tbl>
    <w:p>
      <w:pPr>
        <w:keepNext w:val="0"/>
        <w:spacing w:before="0" w:after="60" w:line="278" w:lineRule="auto"/>
        <w:jc w:val="left"/>
      </w:pPr>
    </w:p>
    <w:p>
      <w:r>
        <w:br w:type="page"/>
      </w:r>
    </w:p>
    <w:p>
      <w:pPr>
        <w:keepNext/>
        <w:spacing w:before="160" w:after="60"/>
      </w:pPr>
      <w:r>
        <w:rPr>
          <w:rFonts w:ascii="DejaVu Sans" w:hAnsi="DejaVu Sans"/>
          <w:b/>
          <w:i w:val="0"/>
          <w:color w:val="315EFB"/>
          <w:sz w:val="14"/>
        </w:rPr>
        <w:t>02 · ZWECK UND ERFORDERLICHKEIT</w:t>
      </w:r>
    </w:p>
    <w:p>
      <w:pPr>
        <w:keepNext/>
        <w:spacing w:after="120"/>
      </w:pPr>
      <w:r>
        <w:rPr>
          <w:rFonts w:ascii="DejaVu Sans" w:hAnsi="DejaVu Sans"/>
          <w:b/>
          <w:i w:val="0"/>
          <w:color w:val="101624"/>
          <w:sz w:val="33"/>
        </w:rPr>
        <w:t>Warum diese konkrete Prüfung notwendig ist</w:t>
      </w:r>
    </w:p>
    <w:p>
      <w:pPr>
        <w:keepNext w:val="0"/>
        <w:spacing w:before="0" w:after="180" w:line="293" w:lineRule="auto"/>
        <w:jc w:val="left"/>
      </w:pPr>
      <w:r>
        <w:rPr>
          <w:rFonts w:ascii="DejaVu Sans" w:hAnsi="DejaVu Sans"/>
          <w:b w:val="0"/>
          <w:i w:val="0"/>
          <w:color w:val="5E6875"/>
          <w:sz w:val="18"/>
        </w:rPr>
        <w:t>Erforderlichkeit und Datenminimierung folgen insbesondere aus Art. 5 Abs. 1 lit. c und Art. 6 DSGVO; auch der Wortlaut des § 26 Abs. 1 BDSG stellt auf Erforderlichkeit ab. Allgemeine Neugier, Reputationsvorsorge ohne konkreten Bezug oder Datensammlung auf Vorrat reichen nicht.</w:t>
      </w:r>
    </w:p>
    <w:tbl>
      <w:tblPr>
        <w:tblW w:type="auto" w:w="0"/>
        <w:jc w:val="center"/>
        <w:tblLayout w:type="fixed"/>
        <w:tblLook w:firstColumn="1" w:firstRow="1" w:lastColumn="0" w:lastRow="0" w:noHBand="0" w:noVBand="1" w:val="04A0"/>
      </w:tblPr>
      <w:tblGrid>
        <w:gridCol w:w="4989"/>
        <w:gridCol w:w="4989"/>
      </w:tblGrid>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Zu besetzende Position</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Bezeichnung, Bereich, Seniorität, Standort</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Bewerberreferenz</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Pseudonyme ID; Klarname nur im sicheren Fallkanal</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Stufe im Auswahlprozess</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z. B. Finalrunde / bedingtes Angebot</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Konkreter Entscheidungszweck</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Welche Einstellungsfrage soll beantwortet werden?</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Rollenbezogenes Risiko</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Welche konkrete Verantwortung oder Zugriffslage besteht?</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Mildere Mittel</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Welche Alternativen wurden geprüft und warum reichen sie nicht?</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Prüftiefe</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Basis / erweitert / individuell begrenzt</w:t>
            </w:r>
          </w:p>
        </w:tc>
      </w:tr>
    </w:tbl>
    <w:p>
      <w:pPr>
        <w:keepNext w:val="0"/>
        <w:spacing w:before="0" w:after="60" w:line="278" w:lineRule="auto"/>
        <w:jc w:val="left"/>
      </w:pPr>
    </w:p>
    <w:p>
      <w:pPr>
        <w:keepNext/>
        <w:spacing w:before="100" w:after="80" w:line="278" w:lineRule="auto"/>
        <w:jc w:val="left"/>
      </w:pPr>
      <w:r>
        <w:rPr>
          <w:rFonts w:ascii="DejaVu Sans" w:hAnsi="DejaVu Sans"/>
          <w:b/>
          <w:i w:val="0"/>
          <w:color w:val="101624"/>
          <w:sz w:val="21"/>
        </w:rPr>
        <w:t>Risikomerkmale der Position</w:t>
      </w:r>
    </w:p>
    <w:tbl>
      <w:tblPr>
        <w:tblW w:type="auto" w:w="0"/>
        <w:jc w:val="center"/>
        <w:tblLayout w:type="fixed"/>
        <w:tblLook w:firstColumn="1" w:firstRow="1" w:lastColumn="0" w:lastRow="0" w:noHBand="0" w:noVBand="1" w:val="04A0"/>
      </w:tblPr>
      <w:tblGrid>
        <w:gridCol w:w="4989"/>
        <w:gridCol w:w="4989"/>
      </w:tblGrid>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Privilegierter Zugriff auf IT-Systeme, Sicherheitsarchitektur oder besonders schutzbedürftige Daten</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Erhebliche Finanz-, Zeichnungs-, Beschaffungs- oder Vermögensverantwortung</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Leitungs-, Vertrauens- oder Kontrollfunktion mit erhöhtem Integritätsbedarf</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Relevante Außenwirkung, regulatorische Verantwortung oder Zugang zu kritischer Infrastruktur</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Konkrete, dokumentierte Widersprüche in mandatsrelevanten Bewerbungsangaben</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Sonstiges konkretes Merkmal (bitte erläutern): ______________________________________________</w:t>
            </w:r>
          </w:p>
        </w:tc>
      </w:tr>
    </w:tbl>
    <w:p>
      <w:pPr>
        <w:keepNext w:val="0"/>
        <w:spacing w:before="0" w:after="40" w:line="278" w:lineRule="auto"/>
        <w:jc w:val="left"/>
      </w:pPr>
    </w:p>
    <w:tbl>
      <w:tblPr>
        <w:tblW w:type="auto" w:w="0"/>
        <w:jc w:val="center"/>
        <w:tblLayout w:type="fixed"/>
        <w:tblLook w:firstColumn="1" w:firstRow="1" w:lastColumn="0" w:lastRow="0" w:noHBand="0" w:noVBand="1" w:val="04A0"/>
      </w:tblPr>
      <w:tblGrid>
        <w:gridCol w:w="9978"/>
      </w:tblGrid>
      <w:tr>
        <w:tc>
          <w:tcPr>
            <w:tcW w:type="dxa" w:w="9978"/>
            <w:shd w:fill="F1F4F8"/>
            <w:tcBorders>
              <w:top w:val="single" w:sz="7" w:color="D7DDE5"/>
              <w:left w:val="single" w:sz="7" w:color="D7DDE5"/>
              <w:bottom w:val="single" w:sz="7" w:color="D7DDE5"/>
              <w:right w:val="single" w:sz="7" w:color="D7DDE5"/>
              <w:insideH w:val="single" w:sz="7" w:color="D7DDE5"/>
              <w:insideV w:val="single" w:sz="7" w:color="D7DDE5"/>
            </w:tcBorders>
            <w:tcMar>
              <w:top w:w="170" w:type="dxa"/>
              <w:start w:w="190" w:type="dxa"/>
              <w:bottom w:w="170" w:type="dxa"/>
              <w:end w:w="190" w:type="dxa"/>
            </w:tcMar>
          </w:tcPr>
          <w:p>
            <w:pPr>
              <w:spacing w:after="60"/>
            </w:pPr>
            <w:r>
              <w:rPr>
                <w:rFonts w:ascii="DejaVu Sans" w:hAnsi="DejaVu Sans"/>
                <w:b/>
                <w:i w:val="0"/>
                <w:color w:val="101624"/>
                <w:sz w:val="18"/>
              </w:rPr>
              <w:t>Erforderlichkeitsentscheidung</w:t>
            </w:r>
          </w:p>
          <w:p>
            <w:pPr>
              <w:spacing w:after="0" w:line="283" w:lineRule="auto"/>
            </w:pPr>
            <w:r>
              <w:rPr>
                <w:rFonts w:ascii="DejaVu Sans" w:hAnsi="DejaVu Sans"/>
                <w:b w:val="0"/>
                <w:i w:val="0"/>
                <w:color w:val="11131A"/>
                <w:sz w:val="17"/>
              </w:rPr>
              <w:t>Die Prüfung muss geeignet sein, die konkrete Frage zu beantworten, darf kein gleich wirksames milderes Mittel haben und muss in ihrer Eingriffsintensität zur Position passen.</w:t>
            </w:r>
          </w:p>
        </w:tc>
      </w:tr>
    </w:tbl>
    <w:p>
      <w:pPr>
        <w:keepNext w:val="0"/>
        <w:spacing w:before="0" w:after="60" w:line="278" w:lineRule="auto"/>
        <w:jc w:val="left"/>
      </w:pPr>
    </w:p>
    <w:p>
      <w:r>
        <w:br w:type="page"/>
      </w:r>
    </w:p>
    <w:p>
      <w:pPr>
        <w:keepNext/>
        <w:spacing w:before="160" w:after="60"/>
      </w:pPr>
      <w:r>
        <w:rPr>
          <w:rFonts w:ascii="DejaVu Sans" w:hAnsi="DejaVu Sans"/>
          <w:b/>
          <w:i w:val="0"/>
          <w:color w:val="315EFB"/>
          <w:sz w:val="14"/>
        </w:rPr>
        <w:t>03 · RECHTSGRUNDLAGE UND TRANSPARENZ</w:t>
      </w:r>
    </w:p>
    <w:p>
      <w:pPr>
        <w:keepNext/>
        <w:spacing w:after="120"/>
      </w:pPr>
      <w:r>
        <w:rPr>
          <w:rFonts w:ascii="DejaVu Sans" w:hAnsi="DejaVu Sans"/>
          <w:b/>
          <w:i w:val="0"/>
          <w:color w:val="101624"/>
          <w:sz w:val="33"/>
        </w:rPr>
        <w:t>Rechtliche Freigabe vor Recherchebeginn</w:t>
      </w:r>
    </w:p>
    <w:p>
      <w:pPr>
        <w:keepNext w:val="0"/>
        <w:spacing w:before="0" w:after="180" w:line="293" w:lineRule="auto"/>
        <w:jc w:val="left"/>
      </w:pPr>
      <w:r>
        <w:rPr>
          <w:rFonts w:ascii="DejaVu Sans" w:hAnsi="DejaVu Sans"/>
          <w:b w:val="0"/>
          <w:i w:val="0"/>
          <w:color w:val="5E6875"/>
          <w:sz w:val="18"/>
        </w:rPr>
        <w:t>Die Verantwortung für die Rechtsgrundlage und die Erfüllung der Informationspflichten verbleibt beim Auftraggeber als Verantwortlichem.</w:t>
      </w:r>
    </w:p>
    <w:tbl>
      <w:tblPr>
        <w:tblW w:type="auto" w:w="0"/>
        <w:jc w:val="center"/>
        <w:tblLayout w:type="fixed"/>
        <w:tblLook w:firstColumn="1" w:firstRow="1" w:lastColumn="0" w:lastRow="0" w:noHBand="0" w:noVBand="1" w:val="04A0"/>
      </w:tblPr>
      <w:tblGrid>
        <w:gridCol w:w="9978"/>
      </w:tblGrid>
      <w:tr>
        <w:tc>
          <w:tcPr>
            <w:tcW w:type="dxa" w:w="9978"/>
            <w:shd w:fill="FFF5D9"/>
            <w:tcBorders>
              <w:top w:val="single" w:sz="7" w:color="E6D6A6"/>
              <w:left w:val="single" w:sz="7" w:color="E6D6A6"/>
              <w:bottom w:val="single" w:sz="7" w:color="E6D6A6"/>
              <w:right w:val="single" w:sz="7" w:color="E6D6A6"/>
              <w:insideH w:val="single" w:sz="7" w:color="E6D6A6"/>
              <w:insideV w:val="single" w:sz="7" w:color="E6D6A6"/>
            </w:tcBorders>
            <w:tcMar>
              <w:top w:w="170" w:type="dxa"/>
              <w:start w:w="190" w:type="dxa"/>
              <w:bottom w:w="170" w:type="dxa"/>
              <w:end w:w="190" w:type="dxa"/>
            </w:tcMar>
          </w:tcPr>
          <w:p>
            <w:pPr>
              <w:spacing w:after="60"/>
            </w:pPr>
            <w:r>
              <w:rPr>
                <w:rFonts w:ascii="DejaVu Sans" w:hAnsi="DejaVu Sans"/>
                <w:b/>
                <w:i w:val="0"/>
                <w:color w:val="101624"/>
                <w:sz w:val="18"/>
              </w:rPr>
              <w:t>Aktuelle Rechtsprechung zu § 26 Abs. 1 BDSG</w:t>
            </w:r>
          </w:p>
          <w:p>
            <w:pPr>
              <w:spacing w:after="0" w:line="283" w:lineRule="auto"/>
            </w:pPr>
            <w:r>
              <w:rPr>
                <w:rFonts w:ascii="DejaVu Sans" w:hAnsi="DejaVu Sans"/>
                <w:b w:val="0"/>
                <w:i w:val="0"/>
                <w:color w:val="11131A"/>
                <w:sz w:val="17"/>
              </w:rPr>
              <w:t>Das BAG hat in 8 AZR 209/21 unter Bezug auf EuGH C-34/21 und C-65/23 § 26 Abs. 1 BDSG im geprüften Kontext unangewendet gelassen. Eine Freigabe darf sich daher nicht schematisch allein auf § 26 BDSG stützen; die unmittelbar einschlägige Grundlage nach Art. 6 DSGVO und die aktuelle Rechtsprechung sind gesondert zu prüfen.</w:t>
            </w:r>
          </w:p>
        </w:tc>
      </w:tr>
    </w:tbl>
    <w:p>
      <w:pPr>
        <w:keepNext w:val="0"/>
        <w:spacing w:before="0" w:after="60" w:line="278" w:lineRule="auto"/>
        <w:jc w:val="left"/>
      </w:pPr>
    </w:p>
    <w:tbl>
      <w:tblPr>
        <w:tblW w:type="auto" w:w="0"/>
        <w:jc w:val="center"/>
        <w:tblLayout w:type="fixed"/>
        <w:tblLook w:firstColumn="1" w:firstRow="1" w:lastColumn="0" w:lastRow="0" w:noHBand="0" w:noVBand="1" w:val="04A0"/>
      </w:tblPr>
      <w:tblGrid>
        <w:gridCol w:w="4989"/>
        <w:gridCol w:w="4989"/>
      </w:tblGrid>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Art. 6 Abs. 1 lit. b DSGVO: erforderliche vorvertragliche Maßnahme auf Initiative der bewerbenden Person; Erforderlichkeit je Prüfkriterium dokumentieren.</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Art. 6 Abs. 1 lit. f DSGVO: konkretes berechtigtes Interesse, Erforderlichkeit und Interessenabwägung sind dokumentiert; keine Routine- oder Vorratsprüfung.</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Art. 6 Abs. 1 lit. c DSGVO oder andere tragfähige Spezialgrundlage: genaue Norm, Pflicht, Adressat und zulässiger Umfang sind dokumentiert.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Einwilligung nur ausnahmsweise: Freiwilligkeit, Informiertheit, Widerruf und eine echte Alternative sind dokumentiert. Sie ist nicht die pauschale Standardgrundlage.</w:t>
            </w:r>
          </w:p>
        </w:tc>
      </w:tr>
    </w:tbl>
    <w:p>
      <w:pPr>
        <w:keepNext w:val="0"/>
        <w:spacing w:before="0" w:after="40" w:line="278" w:lineRule="auto"/>
        <w:jc w:val="left"/>
      </w:pPr>
    </w:p>
    <w:tbl>
      <w:tblPr>
        <w:tblW w:type="auto" w:w="0"/>
        <w:jc w:val="center"/>
        <w:tblLayout w:type="fixed"/>
        <w:tblLook w:firstColumn="1" w:firstRow="1" w:lastColumn="0" w:lastRow="0" w:noHBand="0" w:noVBand="1" w:val="04A0"/>
      </w:tblPr>
      <w:tblGrid>
        <w:gridCol w:w="4989"/>
        <w:gridCol w:w="4989"/>
      </w:tblGrid>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Freigegebene Rechtsgrundlage</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Norm, Tatbestand und kurze Begründung</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Rechtliche Freigabe</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Name/Funktion, Datum, Dokumentreferenz</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Rechtsgrundlagenvermerk / Abwägung</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Anlage, Version, Datum oder nicht einschlägig</w:t>
            </w:r>
          </w:p>
        </w:tc>
      </w:tr>
    </w:tbl>
    <w:p>
      <w:pPr>
        <w:keepNext w:val="0"/>
        <w:spacing w:before="0" w:after="60" w:line="278" w:lineRule="auto"/>
        <w:jc w:val="left"/>
      </w:pPr>
    </w:p>
    <w:p>
      <w:pPr>
        <w:keepNext/>
        <w:spacing w:before="100" w:after="80" w:line="278" w:lineRule="auto"/>
        <w:jc w:val="left"/>
      </w:pPr>
      <w:r>
        <w:rPr>
          <w:rFonts w:ascii="DejaVu Sans" w:hAnsi="DejaVu Sans"/>
          <w:b/>
          <w:i w:val="0"/>
          <w:color w:val="101624"/>
          <w:sz w:val="21"/>
        </w:rPr>
        <w:t>Informationspflichten</w:t>
      </w:r>
    </w:p>
    <w:tbl>
      <w:tblPr>
        <w:tblW w:type="auto" w:w="0"/>
        <w:jc w:val="center"/>
        <w:tblLayout w:type="fixed"/>
        <w:tblLook w:firstColumn="1" w:firstRow="1" w:lastColumn="0" w:lastRow="0" w:noHBand="0" w:noVBand="1" w:val="04A0"/>
      </w:tblPr>
      <w:tblGrid>
        <w:gridCol w:w="4989"/>
        <w:gridCol w:w="4989"/>
      </w:tblGrid>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Bewerbende erhalten vor Beginn eine verständliche Information nach Art. 14 DSGVO (oder Art. 13, soweit Angaben direkt erhoben werden).</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Die Information nennt Verantwortlichen, Zweck, Rechtsgrundlage, Datenkategorien, Quellenkategorien, Empfänger, Übermittlungen, Speicherdauer, Rechte und Beschwerdestelle.</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Es wird ausdrücklich erklärt, dass keine ausschließlich automatisierte Entscheidung und kein automatisches Scoring stattfindet.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Eine Ausnahme von der Information wurde nicht pauschal angenommen, sondern mit genauer Norm, Tatsachen und Freigabe dokumentiert.</w:t>
            </w:r>
          </w:p>
        </w:tc>
      </w:tr>
    </w:tbl>
    <w:p>
      <w:pPr>
        <w:keepNext w:val="0"/>
        <w:spacing w:before="0" w:after="40" w:line="278" w:lineRule="auto"/>
        <w:jc w:val="left"/>
      </w:pPr>
    </w:p>
    <w:tbl>
      <w:tblPr>
        <w:tblW w:type="auto" w:w="0"/>
        <w:jc w:val="center"/>
        <w:tblLayout w:type="fixed"/>
        <w:tblLook w:firstColumn="1" w:firstRow="1" w:lastColumn="0" w:lastRow="0" w:noHBand="0" w:noVBand="1" w:val="04A0"/>
      </w:tblPr>
      <w:tblGrid>
        <w:gridCol w:w="4989"/>
        <w:gridCol w:w="4989"/>
      </w:tblGrid>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Informationsversion</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Titel, Version, Stand</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Übermittlung an Bewerbende</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Datum, Kanal, Nachweis</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Ausnahme (falls einschlägig)</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Norm, Begründung, Freigabe</w:t>
            </w:r>
          </w:p>
        </w:tc>
      </w:tr>
    </w:tbl>
    <w:p>
      <w:pPr>
        <w:keepNext w:val="0"/>
        <w:spacing w:before="0" w:after="60" w:line="278" w:lineRule="auto"/>
        <w:jc w:val="left"/>
      </w:pPr>
    </w:p>
    <w:p>
      <w:r>
        <w:br w:type="page"/>
      </w:r>
    </w:p>
    <w:p>
      <w:pPr>
        <w:keepNext/>
        <w:spacing w:before="160" w:after="60"/>
      </w:pPr>
      <w:r>
        <w:rPr>
          <w:rFonts w:ascii="DejaVu Sans" w:hAnsi="DejaVu Sans"/>
          <w:b/>
          <w:i w:val="0"/>
          <w:color w:val="315EFB"/>
          <w:sz w:val="14"/>
        </w:rPr>
        <w:t>04 · PRÜFRAHMEN</w:t>
      </w:r>
    </w:p>
    <w:p>
      <w:pPr>
        <w:keepNext/>
        <w:spacing w:after="120"/>
      </w:pPr>
      <w:r>
        <w:rPr>
          <w:rFonts w:ascii="DejaVu Sans" w:hAnsi="DejaVu Sans"/>
          <w:b/>
          <w:i w:val="0"/>
          <w:color w:val="101624"/>
          <w:sz w:val="33"/>
        </w:rPr>
        <w:t>Zulässige Quellen, Kriterien und klare Ausschlüsse</w:t>
      </w:r>
    </w:p>
    <w:p>
      <w:pPr>
        <w:keepNext w:val="0"/>
        <w:spacing w:before="0" w:after="180" w:line="293" w:lineRule="auto"/>
        <w:jc w:val="left"/>
      </w:pPr>
      <w:r>
        <w:rPr>
          <w:rFonts w:ascii="DejaVu Sans" w:hAnsi="DejaVu Sans"/>
          <w:b w:val="0"/>
          <w:i w:val="0"/>
          <w:color w:val="5E6875"/>
          <w:sz w:val="18"/>
        </w:rPr>
        <w:t>Es werden nur Quellen und Kriterien freigegeben, die der konkreten Rolle und dem dokumentierten Zweck entsprechen.</w:t>
      </w:r>
    </w:p>
    <w:p>
      <w:pPr>
        <w:keepNext/>
        <w:spacing w:before="0" w:after="80" w:line="278" w:lineRule="auto"/>
        <w:jc w:val="left"/>
      </w:pPr>
      <w:r>
        <w:rPr>
          <w:rFonts w:ascii="DejaVu Sans" w:hAnsi="DejaVu Sans"/>
          <w:b/>
          <w:i w:val="0"/>
          <w:color w:val="101624"/>
          <w:sz w:val="21"/>
        </w:rPr>
        <w:t>Regelmäßig zulässige Quellenkategorien – nach Einzelfallfreigabe</w:t>
      </w:r>
    </w:p>
    <w:tbl>
      <w:tblPr>
        <w:tblW w:type="auto" w:w="0"/>
        <w:jc w:val="center"/>
        <w:tblLayout w:type="fixed"/>
        <w:tblLook w:firstColumn="1" w:firstRow="1" w:lastColumn="0" w:lastRow="0" w:noHBand="0" w:noVBand="1" w:val="04A0"/>
      </w:tblPr>
      <w:tblGrid>
        <w:gridCol w:w="4989"/>
        <w:gridCol w:w="4989"/>
      </w:tblGrid>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Vom Bewerbenden bereitgestellte Nachweise und berufliche Profilangaben</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Offizielle Unternehmens-, Behörden-, Berufs- und Registerquellen mit konkretem Rollenbezug</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Öffentlich zugängliche berufliche Netzwerke und professionelle Veröffentlichungen</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Seriöse Presse- und Medienarchive; Relevanz, Aktualität und Gegendarstellung werden geprüft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Sanktions- oder regulatorische Listen nur, wenn der konkrete Zweck und die Rechtsgrundlage dies tragen</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Allgemein zugängliche Webseiten und Suchmaschinenfundstellen ohne Umgehung von Schutzmaßnahmen</w:t>
            </w:r>
          </w:p>
        </w:tc>
      </w:tr>
    </w:tbl>
    <w:p>
      <w:pPr>
        <w:keepNext w:val="0"/>
        <w:spacing w:before="0" w:after="40" w:line="278" w:lineRule="auto"/>
        <w:jc w:val="left"/>
      </w:pPr>
    </w:p>
    <w:p>
      <w:pPr>
        <w:keepNext/>
        <w:spacing w:before="100" w:after="80" w:line="278" w:lineRule="auto"/>
        <w:jc w:val="left"/>
      </w:pPr>
      <w:r>
        <w:rPr>
          <w:rFonts w:ascii="DejaVu Sans" w:hAnsi="DejaVu Sans"/>
          <w:b/>
          <w:i w:val="0"/>
          <w:color w:val="101624"/>
          <w:sz w:val="21"/>
        </w:rPr>
        <w:t>Nur nach gesonderter Legal-/Datenschutzfreigabe</w:t>
      </w:r>
    </w:p>
    <w:tbl>
      <w:tblPr>
        <w:tblW w:type="auto" w:w="0"/>
        <w:jc w:val="center"/>
        <w:tblLayout w:type="fixed"/>
        <w:tblLook w:firstColumn="1" w:firstRow="1" w:lastColumn="0" w:lastRow="0" w:noHBand="0" w:noVBand="1" w:val="04A0"/>
      </w:tblPr>
      <w:tblGrid>
        <w:gridCol w:w="4989"/>
        <w:gridCol w:w="4989"/>
      </w:tblGrid>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Öffentlich sichtbare Inhalte aus überwiegend privat genutzten sozialen Netzwerken</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Drittstaatenquellen, Datenbroker, kostenpflichtige Hintergrunddatenbanken oder Register mit eigener Nutzungsbeschränkung</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Daten zu mutmaßlichen Straftaten, Ermittlungen oder Verurteilungen (Art. 10 DSGVO)</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Abgleich mehrerer Datenbestände oder Identitätsmerkmale mit erhöhtem Fehlzuordnungsrisiko</w:t>
            </w:r>
          </w:p>
        </w:tc>
      </w:tr>
    </w:tbl>
    <w:p>
      <w:pPr>
        <w:keepNext w:val="0"/>
        <w:spacing w:before="0" w:after="40" w:line="278" w:lineRule="auto"/>
        <w:jc w:val="left"/>
      </w:pPr>
    </w:p>
    <w:p>
      <w:pPr>
        <w:keepNext/>
        <w:spacing w:before="100" w:after="80" w:line="278" w:lineRule="auto"/>
        <w:jc w:val="left"/>
      </w:pPr>
      <w:r>
        <w:rPr>
          <w:rFonts w:ascii="DejaVu Sans" w:hAnsi="DejaVu Sans"/>
          <w:b/>
          <w:i w:val="0"/>
          <w:color w:val="101624"/>
          <w:sz w:val="21"/>
        </w:rPr>
        <w:t>Ausgeschlossen</w:t>
      </w:r>
    </w:p>
    <w:tbl>
      <w:tblPr>
        <w:tblW w:type="auto" w:w="0"/>
        <w:jc w:val="center"/>
        <w:tblLayout w:type="fixed"/>
        <w:tblLook w:firstColumn="1" w:firstRow="1" w:lastColumn="0" w:lastRow="0" w:noHBand="0" w:noVBand="1" w:val="04A0"/>
      </w:tblPr>
      <w:tblGrid>
        <w:gridCol w:w="4989"/>
        <w:gridCol w:w="4989"/>
      </w:tblGrid>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Private Konten, Fake-Profile, Kontaktanfragen unter Vorwand, Schutzumgehung sowie biometrische Identifizierung oder Gesichtserkennung</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Art.-9-Daten, private Lebensführung (einschließlich Familie und Beziehungen) sowie AGG-geschützte Merkmale als Prüfkriterien sind ausgeschlossen.</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AGG-geschützte Merkmale als Auswahlkriterium; Zufallsfunde werden ausgeblendet und nicht berichtet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Automatisches Risikoscore, Persönlichkeitsprofil oder ausschließlich automatisierte Empfehlung</w:t>
            </w:r>
          </w:p>
        </w:tc>
      </w:tr>
    </w:tbl>
    <w:p>
      <w:pPr>
        <w:keepNext w:val="0"/>
        <w:spacing w:before="0" w:after="40" w:line="278" w:lineRule="auto"/>
        <w:jc w:val="left"/>
      </w:pPr>
    </w:p>
    <w:tbl>
      <w:tblPr>
        <w:tblW w:type="auto" w:w="0"/>
        <w:jc w:val="center"/>
        <w:tblLayout w:type="fixed"/>
        <w:tblLook w:firstColumn="1" w:firstRow="1" w:lastColumn="0" w:lastRow="0" w:noHBand="0" w:noVBand="1" w:val="04A0"/>
      </w:tblPr>
      <w:tblGrid>
        <w:gridCol w:w="4989"/>
        <w:gridCol w:w="4989"/>
      </w:tblGrid>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Freigegebene konkrete Quellen</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Quellenkategorien, Länder, Zeitfenster</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Freigegebene Prüffragen</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Abschließende Fragen und zusätzliche No-Go-Kriterien</w:t>
            </w:r>
          </w:p>
        </w:tc>
      </w:tr>
    </w:tbl>
    <w:p>
      <w:pPr>
        <w:keepNext w:val="0"/>
        <w:spacing w:before="0" w:after="60" w:line="278" w:lineRule="auto"/>
        <w:jc w:val="left"/>
      </w:pPr>
    </w:p>
    <w:p>
      <w:r>
        <w:br w:type="page"/>
      </w:r>
    </w:p>
    <w:p>
      <w:pPr>
        <w:keepNext/>
        <w:spacing w:before="160" w:after="60"/>
      </w:pPr>
      <w:r>
        <w:rPr>
          <w:rFonts w:ascii="DejaVu Sans" w:hAnsi="DejaVu Sans"/>
          <w:b/>
          <w:i w:val="0"/>
          <w:color w:val="315EFB"/>
          <w:sz w:val="14"/>
        </w:rPr>
        <w:t>05 · QUALITÄT, FAIRNESS UND ENTSCHEIDUNG</w:t>
      </w:r>
    </w:p>
    <w:p>
      <w:pPr>
        <w:keepNext/>
        <w:spacing w:after="120"/>
      </w:pPr>
      <w:r>
        <w:rPr>
          <w:rFonts w:ascii="DejaVu Sans" w:hAnsi="DejaVu Sans"/>
          <w:b/>
          <w:i w:val="0"/>
          <w:color w:val="101624"/>
          <w:sz w:val="33"/>
        </w:rPr>
        <w:t>Menschen prüfen Hinweise – Menschen entscheiden</w:t>
      </w:r>
    </w:p>
    <w:p>
      <w:pPr>
        <w:keepNext w:val="0"/>
        <w:spacing w:before="0" w:after="180" w:line="293" w:lineRule="auto"/>
        <w:jc w:val="left"/>
      </w:pPr>
      <w:r>
        <w:rPr>
          <w:rFonts w:ascii="DejaVu Sans" w:hAnsi="DejaVu Sans"/>
          <w:b w:val="0"/>
          <w:i w:val="0"/>
          <w:color w:val="5E6875"/>
          <w:sz w:val="18"/>
        </w:rPr>
        <w:t>Offene Quellen können veraltet, aus dem Kontext gerissen oder einer falschen Person zugeordnet sein. Deshalb gelten verbindliche Qualitäts- und Anhörungsregeln.</w:t>
      </w:r>
    </w:p>
    <w:tbl>
      <w:tblPr>
        <w:tblW w:type="auto" w:w="0"/>
        <w:jc w:val="center"/>
        <w:tblLayout w:type="fixed"/>
        <w:tblLook w:firstColumn="1" w:firstRow="1" w:lastColumn="0" w:lastRow="0" w:noHBand="0" w:noVBand="1" w:val="04A0"/>
      </w:tblPr>
      <w:tblGrid>
        <w:gridCol w:w="4989"/>
        <w:gridCol w:w="4989"/>
      </w:tblGrid>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Identitätszuordnung erfolgt anhand mehrerer rechtmäßig verfügbarer Merkmale; Namensgleichheit allein genügt nicht.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Feststellungen, Hinweise, Unsicherheiten und Nicht-Feststellungen werden sprachlich und optisch getrennt.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Mandatsrelevante negative Hinweise werden nach Möglichkeit durch eine zweite unabhängige Quelle oder einen Originalnachweis verifiziert.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Quelle, Abrufdatum, Kontext, Aktualität und mögliche Gegenposition werden dokumentiert.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Irrelevante oder geschützte Zufallsfunde werden nicht in den Bericht übernommen und so früh wie möglich gelöscht.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Vor einer nachteiligen Entscheidung erhält die betroffene Person eine reale Möglichkeit zur Stellungnahme und Korrektur.</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Die Einstellungsentscheidung trifft ausschließlich der Auftraggeber; der Bericht ist ein Informationsbaustein, keine Entscheidungsempfehlung.</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Mindestens eine fachlich verantwortliche Person prüft das Ergebnis ohne automatische Gewichtung oder Blackbox-Score.</w:t>
            </w:r>
          </w:p>
        </w:tc>
      </w:tr>
    </w:tbl>
    <w:p>
      <w:pPr>
        <w:keepNext w:val="0"/>
        <w:spacing w:before="0" w:after="40" w:line="278" w:lineRule="auto"/>
        <w:jc w:val="left"/>
      </w:pPr>
    </w:p>
    <w:p>
      <w:pPr>
        <w:keepNext/>
        <w:spacing w:before="100" w:after="80" w:line="278" w:lineRule="auto"/>
        <w:jc w:val="left"/>
      </w:pPr>
      <w:r>
        <w:rPr>
          <w:rFonts w:ascii="DejaVu Sans" w:hAnsi="DejaVu Sans"/>
          <w:b/>
          <w:i w:val="0"/>
          <w:color w:val="101624"/>
          <w:sz w:val="21"/>
        </w:rPr>
        <w:t>AGG- und Fairnesskontrolle</w:t>
      </w:r>
    </w:p>
    <w:tbl>
      <w:tblPr>
        <w:tblW w:type="auto" w:w="0"/>
        <w:jc w:val="center"/>
        <w:tblLayout w:type="fixed"/>
        <w:tblLook w:firstColumn="1" w:firstRow="1" w:lastColumn="0" w:lastRow="0" w:noHBand="0" w:noVBand="1" w:val="04A0"/>
      </w:tblPr>
      <w:tblGrid>
        <w:gridCol w:w="4989"/>
        <w:gridCol w:w="4989"/>
      </w:tblGrid>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Vergleichbarer Prüfstandard</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Wie wird gleiche Prüftiefe für vergleichbare Rollen sichergestellt?</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Anhörungsprozess</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Verantwortliche Stelle, Frist, Dokumentation</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Korrektur-/Eskalationsweg</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Wer bewertet Widerspruch oder Fehlzuordnung?</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Finale Entscheider:innen</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Rollen/Funktionen; kein automatisches System</w:t>
            </w:r>
          </w:p>
        </w:tc>
      </w:tr>
    </w:tbl>
    <w:p>
      <w:pPr>
        <w:keepNext w:val="0"/>
        <w:spacing w:before="0" w:after="60" w:line="278" w:lineRule="auto"/>
        <w:jc w:val="left"/>
      </w:pPr>
    </w:p>
    <w:tbl>
      <w:tblPr>
        <w:tblW w:type="auto" w:w="0"/>
        <w:jc w:val="center"/>
        <w:tblLayout w:type="fixed"/>
        <w:tblLook w:firstColumn="1" w:firstRow="1" w:lastColumn="0" w:lastRow="0" w:noHBand="0" w:noVBand="1" w:val="04A0"/>
      </w:tblPr>
      <w:tblGrid>
        <w:gridCol w:w="9978"/>
      </w:tblGrid>
      <w:tr>
        <w:tc>
          <w:tcPr>
            <w:tcW w:type="dxa" w:w="9978"/>
            <w:shd w:fill="F1F4F8"/>
            <w:tcBorders>
              <w:top w:val="single" w:sz="7" w:color="D7DDE5"/>
              <w:left w:val="single" w:sz="7" w:color="D7DDE5"/>
              <w:bottom w:val="single" w:sz="7" w:color="D7DDE5"/>
              <w:right w:val="single" w:sz="7" w:color="D7DDE5"/>
              <w:insideH w:val="single" w:sz="7" w:color="D7DDE5"/>
              <w:insideV w:val="single" w:sz="7" w:color="D7DDE5"/>
            </w:tcBorders>
            <w:tcMar>
              <w:top w:w="170" w:type="dxa"/>
              <w:start w:w="190" w:type="dxa"/>
              <w:bottom w:w="170" w:type="dxa"/>
              <w:end w:w="190" w:type="dxa"/>
            </w:tcMar>
          </w:tcPr>
          <w:p>
            <w:pPr>
              <w:spacing w:after="60"/>
            </w:pPr>
            <w:r>
              <w:rPr>
                <w:rFonts w:ascii="DejaVu Sans" w:hAnsi="DejaVu Sans"/>
                <w:b/>
                <w:i w:val="0"/>
                <w:color w:val="101624"/>
                <w:sz w:val="18"/>
              </w:rPr>
              <w:t>Keine Vollständigkeitsgarantie</w:t>
            </w:r>
          </w:p>
          <w:p>
            <w:pPr>
              <w:spacing w:after="0" w:line="283" w:lineRule="auto"/>
            </w:pPr>
            <w:r>
              <w:rPr>
                <w:rFonts w:ascii="DejaVu Sans" w:hAnsi="DejaVu Sans"/>
                <w:b w:val="0"/>
                <w:i w:val="0"/>
                <w:color w:val="11131A"/>
                <w:sz w:val="17"/>
              </w:rPr>
              <w:t>Ein OSINT-Bericht belegt den Stand rechtmäßig zugänglicher Quellen zum Abrufzeitpunkt. Nicht auffindbar bedeutet nicht, dass ein Sachverhalt nicht existiert; auffindbar bedeutet nicht automatisch, dass er wahr oder entscheidungsrelevant ist.</w:t>
            </w:r>
          </w:p>
        </w:tc>
      </w:tr>
    </w:tbl>
    <w:p>
      <w:pPr>
        <w:keepNext w:val="0"/>
        <w:spacing w:before="0" w:after="60" w:line="278" w:lineRule="auto"/>
        <w:jc w:val="left"/>
      </w:pPr>
    </w:p>
    <w:p>
      <w:r>
        <w:br w:type="page"/>
      </w:r>
    </w:p>
    <w:p>
      <w:pPr>
        <w:keepNext/>
        <w:spacing w:before="160" w:after="60"/>
      </w:pPr>
      <w:r>
        <w:rPr>
          <w:rFonts w:ascii="DejaVu Sans" w:hAnsi="DejaVu Sans"/>
          <w:b/>
          <w:i w:val="0"/>
          <w:color w:val="315EFB"/>
          <w:sz w:val="14"/>
        </w:rPr>
        <w:t>06 · SICHERHEIT UND LÖSCHUNG</w:t>
      </w:r>
    </w:p>
    <w:p>
      <w:pPr>
        <w:keepNext/>
        <w:spacing w:after="120"/>
      </w:pPr>
      <w:r>
        <w:rPr>
          <w:rFonts w:ascii="DejaVu Sans" w:hAnsi="DejaVu Sans"/>
          <w:b/>
          <w:i w:val="0"/>
          <w:color w:val="101624"/>
          <w:sz w:val="33"/>
        </w:rPr>
        <w:t>Technische und organisatorische Maßnahmen (TOMs)</w:t>
      </w:r>
    </w:p>
    <w:p>
      <w:pPr>
        <w:keepNext w:val="0"/>
        <w:spacing w:before="0" w:after="180" w:line="293" w:lineRule="auto"/>
        <w:jc w:val="left"/>
      </w:pPr>
      <w:r>
        <w:rPr>
          <w:rFonts w:ascii="DejaVu Sans" w:hAnsi="DejaVu Sans"/>
          <w:b w:val="0"/>
          <w:i w:val="0"/>
          <w:color w:val="5E6875"/>
          <w:sz w:val="18"/>
        </w:rPr>
        <w:t>Die konkreten Maßnahmen werden im Vertrag und – bei Auftragsverarbeitung – in der Art.-28-Anlage verbindlich festgelegt.</w:t>
      </w:r>
    </w:p>
    <w:tbl>
      <w:tblPr>
        <w:tblW w:type="auto" w:w="0"/>
        <w:jc w:val="center"/>
        <w:tblLayout w:type="fixed"/>
        <w:tblLook w:firstColumn="1" w:firstRow="1" w:lastColumn="0" w:lastRow="0" w:noHBand="0" w:noVBand="1" w:val="04A0"/>
      </w:tblPr>
      <w:tblGrid>
        <w:gridCol w:w="4989"/>
        <w:gridCol w:w="4989"/>
      </w:tblGrid>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Pseudonyme Vorgangsnummer; Klarname und zusätzliche Identifikatoren nur im minimal erforderlichen Fallkanal</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Verschlüsselte Übertragung; keine personenbezogenen Falldaten über das öffentliche Websiteformular</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Verschlüsselte Speicherung, MFA und rollenbasierter Zugriff nach Need-to-know</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Trennung von privaten, anderen Mandanten- und dienstlichen Daten/Systemen</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Keine Eingabe personenbezogener Falldaten in öffentliche KI-, Übersetzungs- oder Analyseangebote</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Protokollierte Übergabe und dokumentierte Empfängerliste</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Unterauftragnehmer nur nach vorheriger schriftlicher Freigabe und vertraglicher Einbindung</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Meldeweg für Datenschutzverletzungen ohne unangemessene Verzögerung; Verantwortlicher bewertet Art. 33/34 DSGVO</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Sichere Löschung von Arbeitskopien, Exports und temporären Dateien nach Fristablauf</w:t>
            </w:r>
          </w:p>
        </w:tc>
      </w:tr>
    </w:tbl>
    <w:p>
      <w:pPr>
        <w:keepNext w:val="0"/>
        <w:spacing w:before="0" w:after="40" w:line="278" w:lineRule="auto"/>
        <w:jc w:val="left"/>
      </w:pPr>
    </w:p>
    <w:tbl>
      <w:tblPr>
        <w:tblW w:type="auto" w:w="0"/>
        <w:jc w:val="center"/>
        <w:tblLayout w:type="fixed"/>
        <w:tblLook w:firstColumn="1" w:firstRow="1" w:lastColumn="0" w:lastRow="0" w:noHBand="0" w:noVBand="1" w:val="04A0"/>
      </w:tblPr>
      <w:tblGrid>
        <w:gridCol w:w="4989"/>
        <w:gridCol w:w="4989"/>
      </w:tblGrid>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Sicherer Übermittlungsweg</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Vereinbartes Verfahren; keine Zugangsdaten hier eintragen</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Zugelassene Empfänger</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Namentliche Rollen / Funktionspostfächer</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Arbeitsdaten Auftragnehmer</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Löschung spätestens am / Ereignis</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Finalbericht Auftraggeber</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Löschfrist und Verantwortliche:r</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Rückfragefrist</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Zeitraum nach Übergabe</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Gesetzliche Aufbewahrung</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Norm / Dokumentart / Dauer oder nicht einschlägig</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Löschbestätigung</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Form, Zeitpunkt, Empfänger</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Drittlandübermittlung</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Nein / Land / Mechanismus / Transferprüfung</w:t>
            </w:r>
          </w:p>
        </w:tc>
      </w:tr>
    </w:tbl>
    <w:p>
      <w:pPr>
        <w:keepNext w:val="0"/>
        <w:spacing w:before="0" w:after="60" w:line="278" w:lineRule="auto"/>
        <w:jc w:val="left"/>
      </w:pPr>
    </w:p>
    <w:p>
      <w:r>
        <w:br w:type="page"/>
      </w:r>
    </w:p>
    <w:p>
      <w:pPr>
        <w:keepNext/>
        <w:spacing w:before="160" w:after="60"/>
      </w:pPr>
      <w:r>
        <w:rPr>
          <w:rFonts w:ascii="DejaVu Sans" w:hAnsi="DejaVu Sans"/>
          <w:b/>
          <w:i w:val="0"/>
          <w:color w:val="315EFB"/>
          <w:sz w:val="14"/>
        </w:rPr>
        <w:t>07 · DSFA-SCHWELLE</w:t>
      </w:r>
    </w:p>
    <w:p>
      <w:pPr>
        <w:keepNext/>
        <w:spacing w:after="120"/>
      </w:pPr>
      <w:r>
        <w:rPr>
          <w:rFonts w:ascii="DejaVu Sans" w:hAnsi="DejaVu Sans"/>
          <w:b/>
          <w:i w:val="0"/>
          <w:color w:val="101624"/>
          <w:sz w:val="33"/>
        </w:rPr>
        <w:t>Prüfung nach Art. 35 DSGVO</w:t>
      </w:r>
    </w:p>
    <w:p>
      <w:pPr>
        <w:keepNext w:val="0"/>
        <w:spacing w:before="0" w:after="180" w:line="293" w:lineRule="auto"/>
        <w:jc w:val="left"/>
      </w:pPr>
      <w:r>
        <w:rPr>
          <w:rFonts w:ascii="DejaVu Sans" w:hAnsi="DejaVu Sans"/>
          <w:b w:val="0"/>
          <w:i w:val="0"/>
          <w:color w:val="5E6875"/>
          <w:sz w:val="18"/>
        </w:rPr>
        <w:t>Die Checkliste ist ein Warnsystem, keine mechanische Rechtsformel. Bereits ein einzelnes Kriterium kann bei hoher Intensität eine DSFA erfordern. Die Entscheidung trifft der Verantwortliche unter Einbeziehung der Datenschutzfunktion.</w:t>
      </w:r>
    </w:p>
    <w:tbl>
      <w:tblPr>
        <w:tblW w:type="auto" w:w="0"/>
        <w:jc w:val="center"/>
        <w:tblLayout w:type="fixed"/>
        <w:tblLook w:firstColumn="1" w:firstRow="1" w:lastColumn="0" w:lastRow="0" w:noHBand="0" w:noVBand="1" w:val="04A0"/>
      </w:tblPr>
      <w:tblGrid>
        <w:gridCol w:w="3326"/>
        <w:gridCol w:w="3326"/>
        <w:gridCol w:w="3326"/>
      </w:tblGrid>
      <w:tr>
        <w:trPr>
          <w:tblHeader w:val="true"/>
        </w:trPr>
        <w:tc>
          <w:tcPr>
            <w:tcW w:type="dxa" w:w="4535"/>
            <w:shd w:fill="101624"/>
            <w:tcBorders>
              <w:top w:val="single" w:sz="7" w:color="101624"/>
              <w:left w:val="single" w:sz="7" w:color="101624"/>
              <w:bottom w:val="single" w:sz="7" w:color="101624"/>
              <w:right w:val="single" w:sz="7" w:color="101624"/>
              <w:insideH w:val="single" w:sz="7" w:color="101624"/>
              <w:insideV w:val="single" w:sz="7" w:color="101624"/>
            </w:tcBorders>
            <w:tcMar>
              <w:top w:w="110" w:type="dxa"/>
              <w:start w:w="130" w:type="dxa"/>
              <w:bottom w:w="110" w:type="dxa"/>
              <w:end w:w="130" w:type="dxa"/>
            </w:tcMar>
          </w:tcPr>
          <w:p>
            <w:pPr>
              <w:spacing w:after="0"/>
              <w:jc w:val="left"/>
            </w:pPr>
            <w:r>
              <w:rPr>
                <w:rFonts w:ascii="DejaVu Sans" w:hAnsi="DejaVu Sans"/>
                <w:b/>
                <w:i w:val="0"/>
                <w:color w:val="FFFFFF"/>
                <w:sz w:val="15"/>
              </w:rPr>
              <w:t>Prüfkriterium</w:t>
            </w:r>
          </w:p>
        </w:tc>
        <w:tc>
          <w:tcPr>
            <w:tcW w:type="dxa" w:w="709"/>
            <w:shd w:fill="101624"/>
            <w:tcBorders>
              <w:top w:val="single" w:sz="7" w:color="101624"/>
              <w:left w:val="single" w:sz="7" w:color="101624"/>
              <w:bottom w:val="single" w:sz="7" w:color="101624"/>
              <w:right w:val="single" w:sz="7" w:color="101624"/>
              <w:insideH w:val="single" w:sz="7" w:color="101624"/>
              <w:insideV w:val="single" w:sz="7" w:color="101624"/>
            </w:tcBorders>
            <w:tcMar>
              <w:top w:w="110" w:type="dxa"/>
              <w:start w:w="130" w:type="dxa"/>
              <w:bottom w:w="110" w:type="dxa"/>
              <w:end w:w="130" w:type="dxa"/>
            </w:tcMar>
          </w:tcPr>
          <w:p>
            <w:pPr>
              <w:spacing w:after="0"/>
              <w:jc w:val="center"/>
            </w:pPr>
            <w:r>
              <w:rPr>
                <w:rFonts w:ascii="DejaVu Sans" w:hAnsi="DejaVu Sans"/>
                <w:b/>
                <w:i w:val="0"/>
                <w:color w:val="FFFFFF"/>
                <w:sz w:val="15"/>
              </w:rPr>
              <w:t>Bewertung</w:t>
            </w:r>
          </w:p>
        </w:tc>
        <w:tc>
          <w:tcPr>
            <w:tcW w:type="dxa" w:w="4734"/>
            <w:shd w:fill="101624"/>
            <w:tcBorders>
              <w:top w:val="single" w:sz="7" w:color="101624"/>
              <w:left w:val="single" w:sz="7" w:color="101624"/>
              <w:bottom w:val="single" w:sz="7" w:color="101624"/>
              <w:right w:val="single" w:sz="7" w:color="101624"/>
              <w:insideH w:val="single" w:sz="7" w:color="101624"/>
              <w:insideV w:val="single" w:sz="7" w:color="101624"/>
            </w:tcBorders>
            <w:tcMar>
              <w:top w:w="110" w:type="dxa"/>
              <w:start w:w="130" w:type="dxa"/>
              <w:bottom w:w="110" w:type="dxa"/>
              <w:end w:w="130" w:type="dxa"/>
            </w:tcMar>
          </w:tcPr>
          <w:p>
            <w:pPr>
              <w:spacing w:after="0"/>
              <w:jc w:val="left"/>
            </w:pPr>
            <w:r>
              <w:rPr>
                <w:rFonts w:ascii="DejaVu Sans" w:hAnsi="DejaVu Sans"/>
                <w:b/>
                <w:i w:val="0"/>
                <w:color w:val="FFFFFF"/>
                <w:sz w:val="15"/>
              </w:rPr>
              <w:t>Einordnung / Warnsignal</w:t>
            </w:r>
          </w:p>
        </w:tc>
      </w:tr>
      <w:tr>
        <w:tc>
          <w:tcPr>
            <w:tcW w:type="dxa" w:w="4535"/>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11131A"/>
                <w:sz w:val="15"/>
              </w:rPr>
              <w:t>Systematische und umfassende Bewertung persönlicher Aspekte</w:t>
            </w:r>
          </w:p>
        </w:tc>
        <w:tc>
          <w:tcPr>
            <w:tcW w:type="dxa" w:w="709"/>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jc w:val="center"/>
            </w:pPr>
            <w:r>
              <w:rPr>
                <w:rFonts w:ascii="DejaVu Sans" w:hAnsi="DejaVu Sans"/>
                <w:b w:val="0"/>
                <w:i w:val="0"/>
                <w:color w:val="315EFB"/>
                <w:sz w:val="14"/>
              </w:rPr>
              <w:t>☐ Ja  ☐ Nein</w:t>
            </w:r>
          </w:p>
        </w:tc>
        <w:tc>
          <w:tcPr>
            <w:tcW w:type="dxa" w:w="4734"/>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5E6875"/>
                <w:sz w:val="15"/>
              </w:rPr>
              <w:t>Profilbildung, Zuverlässigkeits- oder Verhaltensprognose</w:t>
            </w:r>
          </w:p>
        </w:tc>
      </w:tr>
      <w:tr>
        <w:tc>
          <w:tcPr>
            <w:tcW w:type="dxa" w:w="4535"/>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11131A"/>
                <w:sz w:val="15"/>
              </w:rPr>
              <w:t>Entscheidung mit erheblicher Wirkung</w:t>
            </w:r>
          </w:p>
        </w:tc>
        <w:tc>
          <w:tcPr>
            <w:tcW w:type="dxa" w:w="709"/>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jc w:val="center"/>
            </w:pPr>
            <w:r>
              <w:rPr>
                <w:rFonts w:ascii="DejaVu Sans" w:hAnsi="DejaVu Sans"/>
                <w:b w:val="0"/>
                <w:i w:val="0"/>
                <w:color w:val="315EFB"/>
                <w:sz w:val="14"/>
              </w:rPr>
              <w:t>☐ Ja  ☐ Nein</w:t>
            </w:r>
          </w:p>
        </w:tc>
        <w:tc>
          <w:tcPr>
            <w:tcW w:type="dxa" w:w="4734"/>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5E6875"/>
                <w:sz w:val="15"/>
              </w:rPr>
              <w:t>Ausschluss vom Beschäftigungszugang oder vergleichbare Folge</w:t>
            </w:r>
          </w:p>
        </w:tc>
      </w:tr>
      <w:tr>
        <w:tc>
          <w:tcPr>
            <w:tcW w:type="dxa" w:w="4535"/>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11131A"/>
                <w:sz w:val="15"/>
              </w:rPr>
              <w:t>Automatisierte Bewertung oder Scoring</w:t>
            </w:r>
          </w:p>
        </w:tc>
        <w:tc>
          <w:tcPr>
            <w:tcW w:type="dxa" w:w="709"/>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jc w:val="center"/>
            </w:pPr>
            <w:r>
              <w:rPr>
                <w:rFonts w:ascii="DejaVu Sans" w:hAnsi="DejaVu Sans"/>
                <w:b w:val="0"/>
                <w:i w:val="0"/>
                <w:color w:val="315EFB"/>
                <w:sz w:val="14"/>
              </w:rPr>
              <w:t>☐ Ja  ☐ Nein</w:t>
            </w:r>
          </w:p>
        </w:tc>
        <w:tc>
          <w:tcPr>
            <w:tcW w:type="dxa" w:w="4734"/>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5E6875"/>
                <w:sz w:val="15"/>
              </w:rPr>
              <w:t>Soll hier ausgeschlossen sein; jedes Ja stoppt den Auftrag</w:t>
            </w:r>
          </w:p>
        </w:tc>
      </w:tr>
      <w:tr>
        <w:tc>
          <w:tcPr>
            <w:tcW w:type="dxa" w:w="4535"/>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11131A"/>
                <w:sz w:val="15"/>
              </w:rPr>
              <w:t>Besondere Kategorien nach Art. 9 DSGVO</w:t>
            </w:r>
          </w:p>
        </w:tc>
        <w:tc>
          <w:tcPr>
            <w:tcW w:type="dxa" w:w="709"/>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jc w:val="center"/>
            </w:pPr>
            <w:r>
              <w:rPr>
                <w:rFonts w:ascii="DejaVu Sans" w:hAnsi="DejaVu Sans"/>
                <w:b w:val="0"/>
                <w:i w:val="0"/>
                <w:color w:val="315EFB"/>
                <w:sz w:val="14"/>
              </w:rPr>
              <w:t>☐ Ja  ☐ Nein</w:t>
            </w:r>
          </w:p>
        </w:tc>
        <w:tc>
          <w:tcPr>
            <w:tcW w:type="dxa" w:w="4734"/>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5E6875"/>
                <w:sz w:val="15"/>
              </w:rPr>
              <w:t>Soll hier ausgeschlossen sein; Zufallsfunde werden entfernt</w:t>
            </w:r>
          </w:p>
        </w:tc>
      </w:tr>
      <w:tr>
        <w:tc>
          <w:tcPr>
            <w:tcW w:type="dxa" w:w="4535"/>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11131A"/>
                <w:sz w:val="15"/>
              </w:rPr>
              <w:t>Daten zu Straftaten/Verurteilungen nach Art. 10 DSGVO</w:t>
            </w:r>
          </w:p>
        </w:tc>
        <w:tc>
          <w:tcPr>
            <w:tcW w:type="dxa" w:w="709"/>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jc w:val="center"/>
            </w:pPr>
            <w:r>
              <w:rPr>
                <w:rFonts w:ascii="DejaVu Sans" w:hAnsi="DejaVu Sans"/>
                <w:b w:val="0"/>
                <w:i w:val="0"/>
                <w:color w:val="315EFB"/>
                <w:sz w:val="14"/>
              </w:rPr>
              <w:t>☐ Ja  ☐ Nein</w:t>
            </w:r>
          </w:p>
        </w:tc>
        <w:tc>
          <w:tcPr>
            <w:tcW w:type="dxa" w:w="4734"/>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5E6875"/>
                <w:sz w:val="15"/>
              </w:rPr>
              <w:t>Nur mit gesonderter gesetzlicher Grundlage</w:t>
            </w:r>
          </w:p>
        </w:tc>
      </w:tr>
      <w:tr>
        <w:tc>
          <w:tcPr>
            <w:tcW w:type="dxa" w:w="4535"/>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11131A"/>
                <w:sz w:val="15"/>
              </w:rPr>
              <w:t>Großer Umfang oder regelmäßige Vielzahl Betroffener</w:t>
            </w:r>
          </w:p>
        </w:tc>
        <w:tc>
          <w:tcPr>
            <w:tcW w:type="dxa" w:w="709"/>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jc w:val="center"/>
            </w:pPr>
            <w:r>
              <w:rPr>
                <w:rFonts w:ascii="DejaVu Sans" w:hAnsi="DejaVu Sans"/>
                <w:b w:val="0"/>
                <w:i w:val="0"/>
                <w:color w:val="315EFB"/>
                <w:sz w:val="14"/>
              </w:rPr>
              <w:t>☐ Ja  ☐ Nein</w:t>
            </w:r>
          </w:p>
        </w:tc>
        <w:tc>
          <w:tcPr>
            <w:tcW w:type="dxa" w:w="4734"/>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5E6875"/>
                <w:sz w:val="15"/>
              </w:rPr>
              <w:t>Volumen, Dauer, Datenmenge und geografische Reichweite</w:t>
            </w:r>
          </w:p>
        </w:tc>
      </w:tr>
      <w:tr>
        <w:tc>
          <w:tcPr>
            <w:tcW w:type="dxa" w:w="4535"/>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11131A"/>
                <w:sz w:val="15"/>
              </w:rPr>
              <w:t>Systematische Beobachtung oder fortlaufendes Monitoring</w:t>
            </w:r>
          </w:p>
        </w:tc>
        <w:tc>
          <w:tcPr>
            <w:tcW w:type="dxa" w:w="709"/>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jc w:val="center"/>
            </w:pPr>
            <w:r>
              <w:rPr>
                <w:rFonts w:ascii="DejaVu Sans" w:hAnsi="DejaVu Sans"/>
                <w:b w:val="0"/>
                <w:i w:val="0"/>
                <w:color w:val="315EFB"/>
                <w:sz w:val="14"/>
              </w:rPr>
              <w:t>☐ Ja  ☐ Nein</w:t>
            </w:r>
          </w:p>
        </w:tc>
        <w:tc>
          <w:tcPr>
            <w:tcW w:type="dxa" w:w="4734"/>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5E6875"/>
                <w:sz w:val="15"/>
              </w:rPr>
              <w:t>Für Pre-Employment grundsätzlich nicht vorgesehen</w:t>
            </w:r>
          </w:p>
        </w:tc>
      </w:tr>
      <w:tr>
        <w:tc>
          <w:tcPr>
            <w:tcW w:type="dxa" w:w="4535"/>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11131A"/>
                <w:sz w:val="15"/>
              </w:rPr>
              <w:t>Abgleich oder Zusammenführung mehrerer Datenbestände</w:t>
            </w:r>
          </w:p>
        </w:tc>
        <w:tc>
          <w:tcPr>
            <w:tcW w:type="dxa" w:w="709"/>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jc w:val="center"/>
            </w:pPr>
            <w:r>
              <w:rPr>
                <w:rFonts w:ascii="DejaVu Sans" w:hAnsi="DejaVu Sans"/>
                <w:b w:val="0"/>
                <w:i w:val="0"/>
                <w:color w:val="315EFB"/>
                <w:sz w:val="14"/>
              </w:rPr>
              <w:t>☐ Ja  ☐ Nein</w:t>
            </w:r>
          </w:p>
        </w:tc>
        <w:tc>
          <w:tcPr>
            <w:tcW w:type="dxa" w:w="4734"/>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5E6875"/>
                <w:sz w:val="15"/>
              </w:rPr>
              <w:t>Erhöht Fehlzuordnungs- und Kontextverlust-Risiko</w:t>
            </w:r>
          </w:p>
        </w:tc>
      </w:tr>
      <w:tr>
        <w:tc>
          <w:tcPr>
            <w:tcW w:type="dxa" w:w="4535"/>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11131A"/>
                <w:sz w:val="15"/>
              </w:rPr>
              <w:t>Neue Technologie / biometrische Verfahren</w:t>
            </w:r>
          </w:p>
        </w:tc>
        <w:tc>
          <w:tcPr>
            <w:tcW w:type="dxa" w:w="709"/>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jc w:val="center"/>
            </w:pPr>
            <w:r>
              <w:rPr>
                <w:rFonts w:ascii="DejaVu Sans" w:hAnsi="DejaVu Sans"/>
                <w:b w:val="0"/>
                <w:i w:val="0"/>
                <w:color w:val="315EFB"/>
                <w:sz w:val="14"/>
              </w:rPr>
              <w:t>☐ Ja  ☐ Nein</w:t>
            </w:r>
          </w:p>
        </w:tc>
        <w:tc>
          <w:tcPr>
            <w:tcW w:type="dxa" w:w="4734"/>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5E6875"/>
                <w:sz w:val="15"/>
              </w:rPr>
              <w:t>Biometrie ist ausgeschlossen; sonstige Innovation gesondert bewerten</w:t>
            </w:r>
          </w:p>
        </w:tc>
      </w:tr>
      <w:tr>
        <w:tc>
          <w:tcPr>
            <w:tcW w:type="dxa" w:w="4535"/>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11131A"/>
                <w:sz w:val="15"/>
              </w:rPr>
              <w:t>Vulnerable oder abhängig betroffene Personen</w:t>
            </w:r>
          </w:p>
        </w:tc>
        <w:tc>
          <w:tcPr>
            <w:tcW w:type="dxa" w:w="709"/>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jc w:val="center"/>
            </w:pPr>
            <w:r>
              <w:rPr>
                <w:rFonts w:ascii="DejaVu Sans" w:hAnsi="DejaVu Sans"/>
                <w:b w:val="0"/>
                <w:i w:val="0"/>
                <w:color w:val="315EFB"/>
                <w:sz w:val="14"/>
              </w:rPr>
              <w:t>☐ Ja  ☐ Nein</w:t>
            </w:r>
          </w:p>
        </w:tc>
        <w:tc>
          <w:tcPr>
            <w:tcW w:type="dxa" w:w="4734"/>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5E6875"/>
                <w:sz w:val="15"/>
              </w:rPr>
              <w:t>Bewerbende befinden sich in strukturellem Ungleichgewicht</w:t>
            </w:r>
          </w:p>
        </w:tc>
      </w:tr>
      <w:tr>
        <w:tc>
          <w:tcPr>
            <w:tcW w:type="dxa" w:w="4535"/>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11131A"/>
                <w:sz w:val="15"/>
              </w:rPr>
              <w:t>Drittlandquellen oder schwer durchsetzbare Betroffenenrechte</w:t>
            </w:r>
          </w:p>
        </w:tc>
        <w:tc>
          <w:tcPr>
            <w:tcW w:type="dxa" w:w="709"/>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jc w:val="center"/>
            </w:pPr>
            <w:r>
              <w:rPr>
                <w:rFonts w:ascii="DejaVu Sans" w:hAnsi="DejaVu Sans"/>
                <w:b w:val="0"/>
                <w:i w:val="0"/>
                <w:color w:val="315EFB"/>
                <w:sz w:val="14"/>
              </w:rPr>
              <w:t>☐ Ja  ☐ Nein</w:t>
            </w:r>
          </w:p>
        </w:tc>
        <w:tc>
          <w:tcPr>
            <w:tcW w:type="dxa" w:w="4734"/>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5E6875"/>
                <w:sz w:val="15"/>
              </w:rPr>
              <w:t>Rechtsraum, Zugänglichkeit, Richtigkeit, Übermittlung</w:t>
            </w:r>
          </w:p>
        </w:tc>
      </w:tr>
      <w:tr>
        <w:tc>
          <w:tcPr>
            <w:tcW w:type="dxa" w:w="4535"/>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11131A"/>
                <w:sz w:val="15"/>
              </w:rPr>
              <w:t>Verarbeitung verhindert Zugang zu Beschäftigung</w:t>
            </w:r>
          </w:p>
        </w:tc>
        <w:tc>
          <w:tcPr>
            <w:tcW w:type="dxa" w:w="709"/>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jc w:val="center"/>
            </w:pPr>
            <w:r>
              <w:rPr>
                <w:rFonts w:ascii="DejaVu Sans" w:hAnsi="DejaVu Sans"/>
                <w:b w:val="0"/>
                <w:i w:val="0"/>
                <w:color w:val="315EFB"/>
                <w:sz w:val="14"/>
              </w:rPr>
              <w:t>☐ Ja  ☐ Nein</w:t>
            </w:r>
          </w:p>
        </w:tc>
        <w:tc>
          <w:tcPr>
            <w:tcW w:type="dxa" w:w="4734"/>
            <w:tcBorders>
              <w:top w:val="single" w:sz="5" w:color="D7DDE5"/>
              <w:left w:val="single" w:sz="5" w:color="D7DDE5"/>
              <w:bottom w:val="single" w:sz="5" w:color="D7DDE5"/>
              <w:right w:val="single" w:sz="5" w:color="D7DDE5"/>
              <w:insideH w:val="single" w:sz="5" w:color="D7DDE5"/>
              <w:insideV w:val="single" w:sz="5" w:color="D7DDE5"/>
            </w:tcBorders>
            <w:tcMar>
              <w:top w:w="85" w:type="dxa"/>
              <w:start w:w="100" w:type="dxa"/>
              <w:bottom w:w="85" w:type="dxa"/>
              <w:end w:w="100" w:type="dxa"/>
            </w:tcMar>
            <w:vAlign w:val="center"/>
          </w:tcPr>
          <w:p>
            <w:pPr>
              <w:spacing w:after="0"/>
            </w:pPr>
            <w:r>
              <w:rPr>
                <w:rFonts w:ascii="DejaVu Sans" w:hAnsi="DejaVu Sans"/>
                <w:b w:val="0"/>
                <w:i w:val="0"/>
                <w:color w:val="5E6875"/>
                <w:sz w:val="15"/>
              </w:rPr>
              <w:t>Gewicht des Berichts und reale menschliche Korrekturmöglichkeit</w:t>
            </w:r>
          </w:p>
        </w:tc>
      </w:tr>
    </w:tbl>
    <w:p>
      <w:pPr>
        <w:keepNext w:val="0"/>
        <w:spacing w:before="0" w:after="60" w:line="278" w:lineRule="auto"/>
        <w:jc w:val="left"/>
      </w:pPr>
    </w:p>
    <w:tbl>
      <w:tblPr>
        <w:tblW w:type="auto" w:w="0"/>
        <w:jc w:val="center"/>
        <w:tblLayout w:type="fixed"/>
        <w:tblLook w:firstColumn="1" w:firstRow="1" w:lastColumn="0" w:lastRow="0" w:noHBand="0" w:noVBand="1" w:val="04A0"/>
      </w:tblPr>
      <w:tblGrid>
        <w:gridCol w:w="4989"/>
        <w:gridCol w:w="4989"/>
      </w:tblGrid>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DSFA-Ergebnis</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Keine DSFA / DSFA erforderlich / weitere Prüfung</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Begründung</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Risikobild und berücksichtigte Schutzmaßnahmen</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DSB konsultiert</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Name/Funktion, Datum, Stellungnahme</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Art.-36-Konsultation</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Nicht erforderlich / erforderlich / Status</w:t>
            </w:r>
          </w:p>
        </w:tc>
      </w:tr>
    </w:tbl>
    <w:p>
      <w:pPr>
        <w:keepNext w:val="0"/>
        <w:spacing w:before="0" w:after="60" w:line="278" w:lineRule="auto"/>
        <w:jc w:val="left"/>
      </w:pPr>
    </w:p>
    <w:tbl>
      <w:tblPr>
        <w:tblW w:type="auto" w:w="0"/>
        <w:jc w:val="center"/>
        <w:tblLayout w:type="fixed"/>
        <w:tblLook w:firstColumn="1" w:firstRow="1" w:lastColumn="0" w:lastRow="0" w:noHBand="0" w:noVBand="1" w:val="04A0"/>
      </w:tblPr>
      <w:tblGrid>
        <w:gridCol w:w="9978"/>
      </w:tblGrid>
      <w:tr>
        <w:tc>
          <w:tcPr>
            <w:tcW w:type="dxa" w:w="9978"/>
            <w:shd w:fill="FFF5D9"/>
            <w:tcBorders>
              <w:top w:val="single" w:sz="7" w:color="E6D6A6"/>
              <w:left w:val="single" w:sz="7" w:color="E6D6A6"/>
              <w:bottom w:val="single" w:sz="7" w:color="E6D6A6"/>
              <w:right w:val="single" w:sz="7" w:color="E6D6A6"/>
              <w:insideH w:val="single" w:sz="7" w:color="E6D6A6"/>
              <w:insideV w:val="single" w:sz="7" w:color="E6D6A6"/>
            </w:tcBorders>
            <w:tcMar>
              <w:top w:w="170" w:type="dxa"/>
              <w:start w:w="190" w:type="dxa"/>
              <w:bottom w:w="170" w:type="dxa"/>
              <w:end w:w="190" w:type="dxa"/>
            </w:tcMar>
          </w:tcPr>
          <w:p>
            <w:pPr>
              <w:spacing w:after="60"/>
            </w:pPr>
            <w:r>
              <w:rPr>
                <w:rFonts w:ascii="DejaVu Sans" w:hAnsi="DejaVu Sans"/>
                <w:b/>
                <w:i w:val="0"/>
                <w:color w:val="101624"/>
                <w:sz w:val="18"/>
              </w:rPr>
              <w:t>Stop-Kriterium</w:t>
            </w:r>
          </w:p>
          <w:p>
            <w:pPr>
              <w:spacing w:after="0" w:line="283" w:lineRule="auto"/>
            </w:pPr>
            <w:r>
              <w:rPr>
                <w:rFonts w:ascii="DejaVu Sans" w:hAnsi="DejaVu Sans"/>
                <w:b w:val="0"/>
                <w:i w:val="0"/>
                <w:color w:val="11131A"/>
                <w:sz w:val="17"/>
              </w:rPr>
              <w:t>Bei offenem hohem Restrisiko, fehlender Rechtsgrundlage, ungeklärter Transparenz oder unzulässigen Datenkategorien beginnt keine Recherche.</w:t>
            </w:r>
          </w:p>
        </w:tc>
      </w:tr>
    </w:tbl>
    <w:p>
      <w:pPr>
        <w:keepNext w:val="0"/>
        <w:spacing w:before="0" w:after="60" w:line="278" w:lineRule="auto"/>
        <w:jc w:val="left"/>
      </w:pPr>
    </w:p>
    <w:p>
      <w:r>
        <w:br w:type="page"/>
      </w:r>
    </w:p>
    <w:p>
      <w:pPr>
        <w:keepNext/>
        <w:spacing w:before="160" w:after="60"/>
      </w:pPr>
      <w:r>
        <w:rPr>
          <w:rFonts w:ascii="DejaVu Sans" w:hAnsi="DejaVu Sans"/>
          <w:b/>
          <w:i w:val="0"/>
          <w:color w:val="315EFB"/>
          <w:sz w:val="14"/>
        </w:rPr>
        <w:t>08 · FREIGABE</w:t>
      </w:r>
    </w:p>
    <w:p>
      <w:pPr>
        <w:keepNext/>
        <w:spacing w:after="120"/>
      </w:pPr>
      <w:r>
        <w:rPr>
          <w:rFonts w:ascii="DejaVu Sans" w:hAnsi="DejaVu Sans"/>
          <w:b/>
          <w:i w:val="0"/>
          <w:color w:val="101624"/>
          <w:sz w:val="33"/>
        </w:rPr>
        <w:t>Start-, Ergebnis- und Löschfreigabe</w:t>
      </w:r>
    </w:p>
    <w:p>
      <w:pPr>
        <w:keepNext w:val="0"/>
        <w:spacing w:before="0" w:after="180" w:line="293" w:lineRule="auto"/>
        <w:jc w:val="left"/>
      </w:pPr>
      <w:r>
        <w:rPr>
          <w:rFonts w:ascii="DejaVu Sans" w:hAnsi="DejaVu Sans"/>
          <w:b w:val="0"/>
          <w:i w:val="0"/>
          <w:color w:val="5E6875"/>
          <w:sz w:val="18"/>
        </w:rPr>
        <w:t>Alle Pflichtfelder müssen vor dem jeweiligen Schritt bestätigt sein.</w:t>
      </w:r>
    </w:p>
    <w:p>
      <w:pPr>
        <w:keepNext/>
        <w:spacing w:before="0" w:after="80" w:line="278" w:lineRule="auto"/>
        <w:jc w:val="left"/>
      </w:pPr>
      <w:r>
        <w:rPr>
          <w:rFonts w:ascii="DejaVu Sans" w:hAnsi="DejaVu Sans"/>
          <w:b/>
          <w:i w:val="0"/>
          <w:color w:val="101624"/>
          <w:sz w:val="21"/>
        </w:rPr>
        <w:t>Freigabe vor Start</w:t>
      </w:r>
    </w:p>
    <w:tbl>
      <w:tblPr>
        <w:tblW w:type="auto" w:w="0"/>
        <w:jc w:val="center"/>
        <w:tblLayout w:type="fixed"/>
        <w:tblLook w:firstColumn="1" w:firstRow="1" w:lastColumn="0" w:lastRow="0" w:noHBand="0" w:noVBand="1" w:val="04A0"/>
      </w:tblPr>
      <w:tblGrid>
        <w:gridCol w:w="4989"/>
        <w:gridCol w:w="4989"/>
      </w:tblGrid>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Zweck, Erforderlichkeit und konkrete Prüffragen sind abschließend dokumentiert.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Rollen und – soweit erforderlich – Art.-28-Vertrag sind geklärt.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Rechtsgrundlage und Art.-13/14-Information sind freigegeben und nachweisbar umgesetzt.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Quellen, Ausschlüsse, Länder und Zeitfenster sind schriftlich begrenzt.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TOMs, Empfänger, Übermittlung, Rückfrage- und Löschfristen sind festgelegt.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DSFA-Schwelle wurde geprüft; offene hohe Risiken sind ausgeräumt.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Betriebs-/Personalrat und weitere Stellen wurden beteiligt, soweit erforderlich.</w:t>
            </w:r>
          </w:p>
        </w:tc>
      </w:tr>
    </w:tbl>
    <w:p>
      <w:pPr>
        <w:keepNext w:val="0"/>
        <w:spacing w:before="0" w:after="40" w:line="278" w:lineRule="auto"/>
        <w:jc w:val="left"/>
      </w:pPr>
    </w:p>
    <w:tbl>
      <w:tblPr>
        <w:tblW w:type="auto" w:w="0"/>
        <w:jc w:val="center"/>
        <w:tblLayout w:type="fixed"/>
        <w:tblLook w:firstColumn="1" w:firstRow="1" w:lastColumn="0" w:lastRow="0" w:noHBand="0" w:noVBand="1" w:val="04A0"/>
      </w:tblPr>
      <w:tblGrid>
        <w:gridCol w:w="4989"/>
        <w:gridCol w:w="4989"/>
      </w:tblGrid>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Auftraggeber – Fachfreigabe</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Name, Funktion, Datum, Unterschrift</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Datenschutz / Legal</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Name, Funktion, Datum, Unterschrift</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Datenschutzbeauftragte:r</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Stellungnahme / nicht erforderlich, Datum</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Auftragnehmer – Annahme</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Nicolas Glesel, Datum, Unterschrift</w:t>
            </w:r>
          </w:p>
        </w:tc>
      </w:tr>
    </w:tbl>
    <w:p>
      <w:pPr>
        <w:keepNext w:val="0"/>
        <w:spacing w:before="0" w:after="60" w:line="278" w:lineRule="auto"/>
        <w:jc w:val="left"/>
      </w:pPr>
    </w:p>
    <w:p>
      <w:pPr>
        <w:keepNext/>
        <w:spacing w:before="100" w:after="80" w:line="278" w:lineRule="auto"/>
        <w:jc w:val="left"/>
      </w:pPr>
      <w:r>
        <w:rPr>
          <w:rFonts w:ascii="DejaVu Sans" w:hAnsi="DejaVu Sans"/>
          <w:b/>
          <w:i w:val="0"/>
          <w:color w:val="101624"/>
          <w:sz w:val="21"/>
        </w:rPr>
        <w:t>Freigabe nach Ergebnis</w:t>
      </w:r>
    </w:p>
    <w:tbl>
      <w:tblPr>
        <w:tblW w:type="auto" w:w="0"/>
        <w:jc w:val="center"/>
        <w:tblLayout w:type="fixed"/>
        <w:tblLook w:firstColumn="1" w:firstRow="1" w:lastColumn="0" w:lastRow="0" w:noHBand="0" w:noVBand="1" w:val="04A0"/>
      </w:tblPr>
      <w:tblGrid>
        <w:gridCol w:w="4989"/>
        <w:gridCol w:w="4989"/>
      </w:tblGrid>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Bericht enthält nur mandatsrelevante und freigegebene Datenkategorien.</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Negative Hinweise sind verifiziert, als unsicher gekennzeichnet oder aus dem Bericht entfernt.</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Anhörung/Korrektur durch die betroffene Person ist vor negativer Entscheidung vorgesehen.</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Empfängerkreis wurde eingehalten; weitere Offenlegung ist nicht freigegeben.</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Arbeitsdaten und Bericht werden nach dem dokumentierten Löschplan entfernt.</w:t>
            </w:r>
          </w:p>
        </w:tc>
      </w:tr>
    </w:tbl>
    <w:p>
      <w:pPr>
        <w:keepNext w:val="0"/>
        <w:spacing w:before="0" w:after="40" w:line="278" w:lineRule="auto"/>
        <w:jc w:val="left"/>
      </w:pPr>
    </w:p>
    <w:tbl>
      <w:tblPr>
        <w:tblW w:type="auto" w:w="0"/>
        <w:jc w:val="center"/>
        <w:tblLayout w:type="fixed"/>
        <w:tblLook w:firstColumn="1" w:firstRow="1" w:lastColumn="0" w:lastRow="0" w:noHBand="0" w:noVBand="1" w:val="04A0"/>
      </w:tblPr>
      <w:tblGrid>
        <w:gridCol w:w="4989"/>
        <w:gridCol w:w="4989"/>
      </w:tblGrid>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Ergebnis übergeben am</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Datum, Kanal, Empfänger</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Anhörung abgeschlossen</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Datum, Ergebnis / noch offen</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Löschung Auftragnehmer</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Datum / Bestätigungsreferenz</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Abschluss durch Auftraggeber</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Name, Funktion, Datum</w:t>
            </w:r>
          </w:p>
        </w:tc>
      </w:tr>
    </w:tbl>
    <w:p>
      <w:pPr>
        <w:keepNext w:val="0"/>
        <w:spacing w:before="0" w:after="60" w:line="278" w:lineRule="auto"/>
        <w:jc w:val="left"/>
      </w:pPr>
    </w:p>
    <w:p>
      <w:r>
        <w:br w:type="page"/>
      </w:r>
    </w:p>
    <w:p>
      <w:pPr>
        <w:keepNext/>
        <w:spacing w:before="160" w:after="60"/>
      </w:pPr>
      <w:r>
        <w:rPr>
          <w:rFonts w:ascii="DejaVu Sans" w:hAnsi="DejaVu Sans"/>
          <w:b/>
          <w:i w:val="0"/>
          <w:color w:val="315EFB"/>
          <w:sz w:val="14"/>
        </w:rPr>
        <w:t>ANLAGE · ART. 14 DSGVO</w:t>
      </w:r>
    </w:p>
    <w:p>
      <w:pPr>
        <w:keepNext/>
        <w:spacing w:after="120"/>
      </w:pPr>
      <w:r>
        <w:rPr>
          <w:rFonts w:ascii="DejaVu Sans" w:hAnsi="DejaVu Sans"/>
          <w:b/>
          <w:i w:val="0"/>
          <w:color w:val="101624"/>
          <w:sz w:val="33"/>
        </w:rPr>
        <w:t>Musterinformation für Bewerbende</w:t>
      </w:r>
    </w:p>
    <w:p>
      <w:pPr>
        <w:keepNext w:val="0"/>
        <w:spacing w:before="0" w:after="180" w:line="293" w:lineRule="auto"/>
        <w:jc w:val="left"/>
      </w:pPr>
      <w:r>
        <w:rPr>
          <w:rFonts w:ascii="DejaVu Sans" w:hAnsi="DejaVu Sans"/>
          <w:b w:val="0"/>
          <w:i w:val="0"/>
          <w:color w:val="5E6875"/>
          <w:sz w:val="18"/>
        </w:rPr>
        <w:t>Diese Vorlage muss der Verantwortliche an seine Organisation, Verarbeitung, Aufsicht, Empfänger, Länder und Fristen anpassen. Nicht zutreffende Varianten sind zu entfernen.</w:t>
      </w:r>
    </w:p>
    <w:tbl>
      <w:tblPr>
        <w:tblW w:type="auto" w:w="0"/>
        <w:jc w:val="center"/>
        <w:tblLayout w:type="fixed"/>
        <w:tblLook w:firstColumn="1" w:firstRow="1" w:lastColumn="0" w:lastRow="0" w:noHBand="0" w:noVBand="1" w:val="04A0"/>
      </w:tblPr>
      <w:tblGrid>
        <w:gridCol w:w="4989"/>
        <w:gridCol w:w="4989"/>
      </w:tblGrid>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Verantwortlicher</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Organisation, Anschrift, E-Mail, Telefon</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Datenschutzbeauftragte:r</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Name/Kontakt oder gesetzlich nicht bestellt</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Stand / Version</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Datum und Versionsnummer</w:t>
            </w:r>
          </w:p>
        </w:tc>
      </w:tr>
    </w:tbl>
    <w:p>
      <w:pPr>
        <w:keepNext w:val="0"/>
        <w:spacing w:before="0" w:after="60" w:line="278" w:lineRule="auto"/>
        <w:jc w:val="left"/>
      </w:pPr>
    </w:p>
    <w:p>
      <w:pPr>
        <w:keepNext w:val="0"/>
        <w:spacing w:before="80" w:after="60" w:line="278" w:lineRule="auto"/>
        <w:jc w:val="left"/>
      </w:pPr>
      <w:r>
        <w:rPr>
          <w:rFonts w:ascii="DejaVu Sans" w:hAnsi="DejaVu Sans"/>
          <w:b/>
          <w:i w:val="0"/>
          <w:color w:val="101624"/>
          <w:sz w:val="21"/>
        </w:rPr>
        <w:t>1. Zweck der Verarbeitung</w:t>
      </w:r>
    </w:p>
    <w:p>
      <w:pPr>
        <w:keepNext w:val="0"/>
        <w:spacing w:before="0" w:after="100" w:line="288" w:lineRule="auto"/>
        <w:jc w:val="left"/>
      </w:pPr>
      <w:r>
        <w:rPr>
          <w:rFonts w:ascii="DejaVu Sans" w:hAnsi="DejaVu Sans"/>
          <w:b w:val="0"/>
          <w:i w:val="0"/>
          <w:color w:val="11131A"/>
          <w:sz w:val="17"/>
        </w:rPr>
        <w:t>Wir beabsichtigen, im Rahmen Ihrer Bewerbung eine eng begrenzte Prüfung rechtmäßig zugänglicher beruflicher und mandatsrelevanter Informationen durchführen zu lassen. Ziel ist ausschließlich: [konkreten Zweck und Rollenbezug einsetzen]. Es findet keine allgemeine Ausforschung Ihres Privatlebens statt.</w:t>
      </w:r>
    </w:p>
    <w:p>
      <w:pPr>
        <w:keepNext w:val="0"/>
        <w:spacing w:before="80" w:after="60" w:line="278" w:lineRule="auto"/>
        <w:jc w:val="left"/>
      </w:pPr>
      <w:r>
        <w:rPr>
          <w:rFonts w:ascii="DejaVu Sans" w:hAnsi="DejaVu Sans"/>
          <w:b/>
          <w:i w:val="0"/>
          <w:color w:val="101624"/>
          <w:sz w:val="21"/>
        </w:rPr>
        <w:t>2. Rechtsgrundlage</w:t>
      </w:r>
    </w:p>
    <w:p>
      <w:pPr>
        <w:keepNext w:val="0"/>
        <w:spacing w:before="0" w:after="100" w:line="288" w:lineRule="auto"/>
        <w:jc w:val="left"/>
      </w:pPr>
      <w:r>
        <w:rPr>
          <w:rFonts w:ascii="DejaVu Sans" w:hAnsi="DejaVu Sans"/>
          <w:b w:val="0"/>
          <w:i w:val="0"/>
          <w:color w:val="11131A"/>
          <w:sz w:val="17"/>
        </w:rPr>
        <w:t>Die Verarbeitung erfolgt auf Grundlage von [exakte Rechtsgrundlage nach Art. 6 Abs. 1 DSGVO und gegebenenfalls ergänzende anwendbare Spezialnorm]. Die konkrete Erforderlichkeit ergibt sich aus [rollenbezogene Begründung]. Eine Einwilligung darf nur nach gesonderter Prüfung von Freiwilligkeit, Widerruf und echter Alternative eingesetzt werden.</w:t>
      </w:r>
    </w:p>
    <w:p>
      <w:pPr>
        <w:keepNext w:val="0"/>
        <w:spacing w:before="80" w:after="60" w:line="278" w:lineRule="auto"/>
        <w:jc w:val="left"/>
      </w:pPr>
      <w:r>
        <w:rPr>
          <w:rFonts w:ascii="DejaVu Sans" w:hAnsi="DejaVu Sans"/>
          <w:b/>
          <w:i w:val="0"/>
          <w:color w:val="101624"/>
          <w:sz w:val="21"/>
        </w:rPr>
        <w:t>3. Verarbeitete Datenkategorien</w:t>
      </w:r>
    </w:p>
    <w:tbl>
      <w:tblPr>
        <w:tblW w:type="auto" w:w="0"/>
        <w:jc w:val="center"/>
        <w:tblLayout w:type="fixed"/>
        <w:tblLook w:firstColumn="1" w:firstRow="1" w:lastColumn="0" w:lastRow="0" w:noHBand="0" w:noVBand="1" w:val="04A0"/>
      </w:tblPr>
      <w:tblGrid>
        <w:gridCol w:w="4989"/>
        <w:gridCol w:w="4989"/>
      </w:tblGrid>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Identifikations- und berufliche Stammdaten, soweit zur sicheren Zuordnung erforderlich</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Angaben zu Ausbildung, beruflichen Stationen, Funktionen, Mandaten und öffentlich dokumentierten Fachbeiträgen</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Öffentlich dokumentierte Unternehmensbeziehungen, Register- und Beteiligungsangaben mit Rollenbezug</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Mandatsrelevante Presse- oder Medieninformationen einschließlich Kontext, Datum und Verifikationsstatus</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Vom Bewerbenden bereitgestellte oder ausdrücklich zur Prüfung benannte Nachweise</w:t>
            </w:r>
          </w:p>
        </w:tc>
      </w:tr>
      <w:tr>
        <w:tc>
          <w:tcPr>
            <w:tcW w:type="dxa" w:w="510"/>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jc w:val="center"/>
            </w:pPr>
            <w:r>
              <w:rPr>
                <w:rFonts w:ascii="DejaVu Sans" w:hAnsi="DejaVu Sans"/>
                <w:b w:val="0"/>
                <w:i w:val="0"/>
                <w:color w:val="315EFB"/>
                <w:sz w:val="21"/>
              </w:rPr>
              <w:t>☐</w:t>
            </w:r>
          </w:p>
        </w:tc>
        <w:tc>
          <w:tcPr>
            <w:tcW w:type="dxa" w:w="9468"/>
            <w:tcMar>
              <w:top w:w="85" w:type="dxa"/>
              <w:start w:w="100" w:type="dxa"/>
              <w:bottom w:w="85" w:type="dxa"/>
              <w:end w:w="100" w:type="dxa"/>
            </w:tcMar>
            <w:tcBorders>
              <w:top w:val="single" w:sz="5" w:color="D7DDE5"/>
              <w:left w:val="single" w:sz="5" w:color="D7DDE5"/>
              <w:bottom w:val="single" w:sz="5" w:color="D7DDE5"/>
              <w:right w:val="single" w:sz="5" w:color="D7DDE5"/>
              <w:insideH w:val="single" w:sz="5" w:color="D7DDE5"/>
              <w:insideV w:val="single" w:sz="5" w:color="D7DDE5"/>
            </w:tcBorders>
            <w:vAlign w:val="center"/>
          </w:tcPr>
          <w:p>
            <w:pPr>
              <w:spacing w:after="0" w:line="269" w:lineRule="auto"/>
            </w:pPr>
            <w:r>
              <w:rPr>
                <w:rFonts w:ascii="DejaVu Sans" w:hAnsi="DejaVu Sans"/>
                <w:b w:val="0"/>
                <w:i w:val="0"/>
                <w:color w:val="11131A"/>
                <w:sz w:val="16"/>
              </w:rPr>
              <w:t>Weitere freigegebene Kategorie: _________________________________________________</w:t>
            </w:r>
          </w:p>
        </w:tc>
      </w:tr>
    </w:tbl>
    <w:p>
      <w:pPr>
        <w:keepNext w:val="0"/>
        <w:spacing w:before="0" w:after="40" w:line="278" w:lineRule="auto"/>
        <w:jc w:val="left"/>
      </w:pPr>
    </w:p>
    <w:p>
      <w:pPr>
        <w:keepNext w:val="0"/>
        <w:spacing w:before="0" w:after="100" w:line="288" w:lineRule="auto"/>
        <w:jc w:val="left"/>
      </w:pPr>
      <w:r>
        <w:rPr>
          <w:rFonts w:ascii="DejaVu Sans" w:hAnsi="DejaVu Sans"/>
          <w:b/>
          <w:i w:val="0"/>
          <w:color w:val="5E6875"/>
          <w:sz w:val="17"/>
        </w:rPr>
        <w:t>Besondere Kategorien personenbezogener Daten nach Art. 9 DSGVO sowie Daten über Straftaten oder Verurteilungen nach Art. 10 DSGVO sind nicht Gegenstand der regulären Prüfung. Unvermeidbare, nicht erforderliche Zufallsfunde werden nicht für die Entscheidung verwendet.</w:t>
      </w:r>
    </w:p>
    <w:p>
      <w:pPr>
        <w:keepNext w:val="0"/>
        <w:spacing w:before="80" w:after="60" w:line="278" w:lineRule="auto"/>
        <w:jc w:val="left"/>
      </w:pPr>
      <w:r>
        <w:rPr>
          <w:rFonts w:ascii="DejaVu Sans" w:hAnsi="DejaVu Sans"/>
          <w:b/>
          <w:i w:val="0"/>
          <w:color w:val="101624"/>
          <w:sz w:val="21"/>
        </w:rPr>
        <w:t>4. Quellenkategorien</w:t>
      </w:r>
    </w:p>
    <w:p>
      <w:pPr>
        <w:keepNext w:val="0"/>
        <w:spacing w:before="0" w:after="100" w:line="288" w:lineRule="auto"/>
        <w:jc w:val="left"/>
      </w:pPr>
      <w:r>
        <w:rPr>
          <w:rFonts w:ascii="DejaVu Sans" w:hAnsi="DejaVu Sans"/>
          <w:b w:val="0"/>
          <w:i w:val="0"/>
          <w:color w:val="11131A"/>
          <w:sz w:val="17"/>
        </w:rPr>
        <w:t>Die Daten können aus von Ihnen bereitgestellten Angaben, offiziellen Registern und Behördenquellen, Unternehmenswebseiten, öffentlich zugänglichen beruflichen Netzwerken, professionellen Veröffentlichungen, seriösen Medienarchiven sowie allgemein zugänglichen Webseiten stammen. Private Profile oder technische Zugangssperren werden nicht umgangen.</w:t>
      </w:r>
    </w:p>
    <w:p>
      <w:r>
        <w:br w:type="page"/>
      </w:r>
    </w:p>
    <w:p>
      <w:pPr>
        <w:keepNext/>
        <w:spacing w:before="160" w:after="60"/>
      </w:pPr>
      <w:r>
        <w:rPr>
          <w:rFonts w:ascii="DejaVu Sans" w:hAnsi="DejaVu Sans"/>
          <w:b/>
          <w:i w:val="0"/>
          <w:color w:val="315EFB"/>
          <w:sz w:val="14"/>
        </w:rPr>
        <w:t>ANLAGE · ART. 14 DSGVO</w:t>
      </w:r>
    </w:p>
    <w:p>
      <w:pPr>
        <w:keepNext/>
        <w:spacing w:after="120"/>
      </w:pPr>
      <w:r>
        <w:rPr>
          <w:rFonts w:ascii="DejaVu Sans" w:hAnsi="DejaVu Sans"/>
          <w:b/>
          <w:i w:val="0"/>
          <w:color w:val="101624"/>
          <w:sz w:val="33"/>
        </w:rPr>
        <w:t>Musterinformation – Fortsetzung</w:t>
      </w:r>
    </w:p>
    <w:p>
      <w:pPr>
        <w:keepNext w:val="0"/>
        <w:spacing w:before="0" w:after="60" w:line="278" w:lineRule="auto"/>
        <w:jc w:val="left"/>
      </w:pPr>
      <w:r>
        <w:rPr>
          <w:rFonts w:ascii="DejaVu Sans" w:hAnsi="DejaVu Sans"/>
          <w:b/>
          <w:i w:val="0"/>
          <w:color w:val="101624"/>
          <w:sz w:val="21"/>
        </w:rPr>
        <w:t>5. Empfänger und Dienstleister</w:t>
      </w:r>
    </w:p>
    <w:p>
      <w:pPr>
        <w:keepNext w:val="0"/>
        <w:spacing w:before="0" w:after="100" w:line="288" w:lineRule="auto"/>
        <w:jc w:val="left"/>
      </w:pPr>
      <w:r>
        <w:rPr>
          <w:rFonts w:ascii="DejaVu Sans" w:hAnsi="DejaVu Sans"/>
          <w:b w:val="0"/>
          <w:i w:val="0"/>
          <w:color w:val="11131A"/>
          <w:sz w:val="17"/>
        </w:rPr>
        <w:t>Zugriff erhalten nur die für die konkrete Einstellungsentscheidung erforderlichen Funktionen: [Empfänger einsetzen]. Als weisungsgebundener Recherche-Dienstleister wird Nicolas Glesel, Berlin, eingesetzt, sofern und soweit die Rollenprüfung dies ergibt. Weitere Empfänger oder Unterauftragnehmer: [einsetzen / keine].</w:t>
      </w:r>
    </w:p>
    <w:p>
      <w:pPr>
        <w:keepNext w:val="0"/>
        <w:spacing w:before="80" w:after="60" w:line="278" w:lineRule="auto"/>
        <w:jc w:val="left"/>
      </w:pPr>
      <w:r>
        <w:rPr>
          <w:rFonts w:ascii="DejaVu Sans" w:hAnsi="DejaVu Sans"/>
          <w:b/>
          <w:i w:val="0"/>
          <w:color w:val="101624"/>
          <w:sz w:val="21"/>
        </w:rPr>
        <w:t>6. Drittlandübermittlungen</w:t>
      </w:r>
    </w:p>
    <w:p>
      <w:pPr>
        <w:keepNext w:val="0"/>
        <w:spacing w:before="0" w:after="100" w:line="288" w:lineRule="auto"/>
        <w:jc w:val="left"/>
      </w:pPr>
      <w:r>
        <w:rPr>
          <w:rFonts w:ascii="DejaVu Sans" w:hAnsi="DejaVu Sans"/>
          <w:b w:val="0"/>
          <w:i w:val="0"/>
          <w:color w:val="11131A"/>
          <w:sz w:val="17"/>
        </w:rPr>
        <w:t>[Es findet keine Übermittlung außerhalb des EWR statt.] Oder: [Land, Empfänger, Rechtsmechanismus, geeignete Garantien und Bezugsmöglichkeit konkret angeben]. Die bloße Nutzung öffentlich zugänglicher Quellen in Drittländern ist getrennt von einer aktiven Übermittlung personenbezogener Daten zu bewerten.</w:t>
      </w:r>
    </w:p>
    <w:p>
      <w:pPr>
        <w:keepNext w:val="0"/>
        <w:spacing w:before="80" w:after="60" w:line="278" w:lineRule="auto"/>
        <w:jc w:val="left"/>
      </w:pPr>
      <w:r>
        <w:rPr>
          <w:rFonts w:ascii="DejaVu Sans" w:hAnsi="DejaVu Sans"/>
          <w:b/>
          <w:i w:val="0"/>
          <w:color w:val="101624"/>
          <w:sz w:val="21"/>
        </w:rPr>
        <w:t>7. Speicherdauer</w:t>
      </w:r>
    </w:p>
    <w:p>
      <w:pPr>
        <w:keepNext w:val="0"/>
        <w:spacing w:before="0" w:after="100" w:line="288" w:lineRule="auto"/>
        <w:jc w:val="left"/>
      </w:pPr>
      <w:r>
        <w:rPr>
          <w:rFonts w:ascii="DejaVu Sans" w:hAnsi="DejaVu Sans"/>
          <w:b w:val="0"/>
          <w:i w:val="0"/>
          <w:color w:val="11131A"/>
          <w:sz w:val="17"/>
        </w:rPr>
        <w:t>Arbeitsdaten des Dienstleisters werden [Frist/Ereignis] gelöscht. Der Bericht wird beim Verantwortlichen [Frist/Ereignis] aufbewahrt und anschließend gelöscht, soweit keine dokumentierte gesetzliche Pflicht oder Rechtsverteidigung eine längere Aufbewahrung erfordert.</w:t>
      </w:r>
    </w:p>
    <w:p>
      <w:pPr>
        <w:keepNext w:val="0"/>
        <w:spacing w:before="80" w:after="60" w:line="278" w:lineRule="auto"/>
        <w:jc w:val="left"/>
      </w:pPr>
      <w:r>
        <w:rPr>
          <w:rFonts w:ascii="DejaVu Sans" w:hAnsi="DejaVu Sans"/>
          <w:b/>
          <w:i w:val="0"/>
          <w:color w:val="101624"/>
          <w:sz w:val="21"/>
        </w:rPr>
        <w:t>8. Keine ausschließlich automatisierte Entscheidung</w:t>
      </w:r>
    </w:p>
    <w:p>
      <w:pPr>
        <w:keepNext w:val="0"/>
        <w:spacing w:before="0" w:after="100" w:line="288" w:lineRule="auto"/>
        <w:jc w:val="left"/>
      </w:pPr>
      <w:r>
        <w:rPr>
          <w:rFonts w:ascii="DejaVu Sans" w:hAnsi="DejaVu Sans"/>
          <w:b w:val="0"/>
          <w:i w:val="0"/>
          <w:color w:val="11131A"/>
          <w:sz w:val="17"/>
        </w:rPr>
        <w:t>Es findet kein automatisches Risikoscore und keine ausschließlich automatisierte Entscheidung im Sinne von Art. 22 DSGVO statt. Die Einstellungsentscheidung wird von verantwortlichen Personen getroffen. Vor einer nachteiligen Entscheidung können Sie relevante Feststellungen erläutern, bestreiten oder korrigieren.</w:t>
      </w:r>
    </w:p>
    <w:p>
      <w:pPr>
        <w:keepNext w:val="0"/>
        <w:spacing w:before="80" w:after="60" w:line="278" w:lineRule="auto"/>
        <w:jc w:val="left"/>
      </w:pPr>
      <w:r>
        <w:rPr>
          <w:rFonts w:ascii="DejaVu Sans" w:hAnsi="DejaVu Sans"/>
          <w:b/>
          <w:i w:val="0"/>
          <w:color w:val="101624"/>
          <w:sz w:val="21"/>
        </w:rPr>
        <w:t>9. Ihre Rechte</w:t>
      </w:r>
    </w:p>
    <w:p>
      <w:pPr>
        <w:keepNext w:val="0"/>
        <w:spacing w:before="0" w:after="100" w:line="288" w:lineRule="auto"/>
        <w:jc w:val="left"/>
      </w:pPr>
      <w:r>
        <w:rPr>
          <w:rFonts w:ascii="DejaVu Sans" w:hAnsi="DejaVu Sans"/>
          <w:b w:val="0"/>
          <w:i w:val="0"/>
          <w:color w:val="11131A"/>
          <w:sz w:val="17"/>
        </w:rPr>
        <w:t>Sie haben nach Maßgabe der gesetzlichen Voraussetzungen insbesondere Rechte auf Auskunft, Berichtigung, Löschung, Einschränkung der Verarbeitung, Datenübertragbarkeit und Widerspruch. Eine erteilte Einwilligung kann mit Wirkung für die Zukunft widerrufen werden. Anfragen richten Sie an [Kontakt].</w:t>
      </w:r>
    </w:p>
    <w:p>
      <w:pPr>
        <w:keepNext w:val="0"/>
        <w:spacing w:before="80" w:after="60" w:line="278" w:lineRule="auto"/>
        <w:jc w:val="left"/>
      </w:pPr>
      <w:r>
        <w:rPr>
          <w:rFonts w:ascii="DejaVu Sans" w:hAnsi="DejaVu Sans"/>
          <w:b/>
          <w:i w:val="0"/>
          <w:color w:val="101624"/>
          <w:sz w:val="21"/>
        </w:rPr>
        <w:t>10. Beschwerderecht</w:t>
      </w:r>
    </w:p>
    <w:p>
      <w:pPr>
        <w:keepNext w:val="0"/>
        <w:spacing w:before="0" w:after="100" w:line="288" w:lineRule="auto"/>
        <w:jc w:val="left"/>
      </w:pPr>
      <w:r>
        <w:rPr>
          <w:rFonts w:ascii="DejaVu Sans" w:hAnsi="DejaVu Sans"/>
          <w:b w:val="0"/>
          <w:i w:val="0"/>
          <w:color w:val="11131A"/>
          <w:sz w:val="17"/>
        </w:rPr>
        <w:t>Sie können sich bei einer Datenschutzaufsichtsbehörde beschweren. Zuständige bzw. bevorzugt benannte Behörde: [Name, Anschrift, Website].</w:t>
      </w:r>
    </w:p>
    <w:p>
      <w:pPr>
        <w:keepNext w:val="0"/>
        <w:spacing w:before="80" w:after="60" w:line="278" w:lineRule="auto"/>
        <w:jc w:val="left"/>
      </w:pPr>
      <w:r>
        <w:rPr>
          <w:rFonts w:ascii="DejaVu Sans" w:hAnsi="DejaVu Sans"/>
          <w:b/>
          <w:i w:val="0"/>
          <w:color w:val="101624"/>
          <w:sz w:val="21"/>
        </w:rPr>
        <w:t>11. Rückfragen und Korrekturen</w:t>
      </w:r>
    </w:p>
    <w:p>
      <w:pPr>
        <w:keepNext w:val="0"/>
        <w:spacing w:before="0" w:after="100" w:line="288" w:lineRule="auto"/>
        <w:jc w:val="left"/>
      </w:pPr>
      <w:r>
        <w:rPr>
          <w:rFonts w:ascii="DejaVu Sans" w:hAnsi="DejaVu Sans"/>
          <w:b w:val="0"/>
          <w:i w:val="0"/>
          <w:color w:val="11131A"/>
          <w:sz w:val="17"/>
        </w:rPr>
        <w:t>Kontakt für Rückfragen zum Verfahren und zur Stellungnahme: [Name/Funktion/Kontakt]. Bitte teilen Sie uns mit, wenn eine Information unzutreffend, veraltet oder einer anderen Person zuzuordnen ist.</w:t>
      </w:r>
    </w:p>
    <w:tbl>
      <w:tblPr>
        <w:tblW w:type="auto" w:w="0"/>
        <w:jc w:val="center"/>
        <w:tblLayout w:type="fixed"/>
        <w:tblLook w:firstColumn="1" w:firstRow="1" w:lastColumn="0" w:lastRow="0" w:noHBand="0" w:noVBand="1" w:val="04A0"/>
      </w:tblPr>
      <w:tblGrid>
        <w:gridCol w:w="4989"/>
        <w:gridCol w:w="4989"/>
      </w:tblGrid>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Information übermittelt am</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Datum / Kanal</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Rückfragekontakt</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Name, Funktion, Kontaktdaten</w:t>
            </w:r>
          </w:p>
        </w:tc>
      </w:tr>
      <w:tr>
        <w:tc>
          <w:tcPr>
            <w:tcW w:type="dxa" w:w="2891"/>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1F4F8"/>
          </w:tcPr>
          <w:p>
            <w:pPr>
              <w:spacing w:after="0"/>
            </w:pPr>
            <w:r>
              <w:rPr>
                <w:rFonts w:ascii="DejaVu Sans" w:hAnsi="DejaVu Sans"/>
                <w:b/>
                <w:i w:val="0"/>
                <w:color w:val="5E6875"/>
                <w:sz w:val="16"/>
              </w:rPr>
              <w:t>Stellungnahmefrist</w:t>
            </w:r>
          </w:p>
        </w:tc>
        <w:tc>
          <w:tcPr>
            <w:tcW w:type="dxa" w:w="7087"/>
            <w:vAlign w:val="center"/>
            <w:tcMar>
              <w:top w:w="110" w:type="dxa"/>
              <w:start w:w="130" w:type="dxa"/>
              <w:bottom w:w="110" w:type="dxa"/>
              <w:end w:w="130" w:type="dxa"/>
            </w:tcMar>
            <w:tcBorders>
              <w:top w:val="single" w:sz="7" w:color="D7DDE5"/>
              <w:left w:val="single" w:sz="7" w:color="D7DDE5"/>
              <w:bottom w:val="single" w:sz="7" w:color="D7DDE5"/>
              <w:right w:val="single" w:sz="7" w:color="D7DDE5"/>
              <w:insideH w:val="single" w:sz="7" w:color="D7DDE5"/>
              <w:insideV w:val="single" w:sz="7" w:color="D7DDE5"/>
            </w:tcBorders>
            <w:shd w:fill="FFFFFF"/>
          </w:tcPr>
          <w:p>
            <w:pPr>
              <w:spacing w:after="0"/>
            </w:pPr>
            <w:r>
              <w:rPr>
                <w:rFonts w:ascii="DejaVu Sans" w:hAnsi="DejaVu Sans"/>
                <w:b w:val="0"/>
                <w:i/>
                <w:color w:val="7B8490"/>
                <w:sz w:val="16"/>
              </w:rPr>
              <w:t>Datum / angemessene Dauer</w:t>
            </w:r>
          </w:p>
        </w:tc>
      </w:tr>
    </w:tbl>
    <w:p>
      <w:pPr>
        <w:keepNext w:val="0"/>
        <w:spacing w:before="0" w:after="60" w:line="278" w:lineRule="auto"/>
        <w:jc w:val="left"/>
      </w:pPr>
    </w:p>
    <w:p>
      <w:r>
        <w:br w:type="page"/>
      </w:r>
    </w:p>
    <w:p>
      <w:pPr>
        <w:keepNext/>
        <w:spacing w:before="160" w:after="60"/>
      </w:pPr>
      <w:r>
        <w:rPr>
          <w:rFonts w:ascii="DejaVu Sans" w:hAnsi="DejaVu Sans"/>
          <w:b/>
          <w:i w:val="0"/>
          <w:color w:val="315EFB"/>
          <w:sz w:val="14"/>
        </w:rPr>
        <w:t>RECHTSQUELLEN</w:t>
      </w:r>
    </w:p>
    <w:p>
      <w:pPr>
        <w:keepNext/>
        <w:spacing w:after="120"/>
      </w:pPr>
      <w:r>
        <w:rPr>
          <w:rFonts w:ascii="DejaVu Sans" w:hAnsi="DejaVu Sans"/>
          <w:b/>
          <w:i w:val="0"/>
          <w:color w:val="101624"/>
          <w:sz w:val="33"/>
        </w:rPr>
        <w:t>Prüfmaßstab und Aktualisierung</w:t>
      </w:r>
    </w:p>
    <w:p>
      <w:pPr>
        <w:keepNext w:val="0"/>
        <w:spacing w:before="0" w:after="180" w:line="293" w:lineRule="auto"/>
        <w:jc w:val="left"/>
      </w:pPr>
      <w:r>
        <w:rPr>
          <w:rFonts w:ascii="DejaVu Sans" w:hAnsi="DejaVu Sans"/>
          <w:b w:val="0"/>
          <w:i w:val="0"/>
          <w:color w:val="5E6875"/>
          <w:sz w:val="18"/>
        </w:rPr>
        <w:t>Stand dieses Musters: 25. September 2026. Vor Verwendung sind Gesetzesänderungen, Aufsichtsauffassungen und die konkrete Branche/Position erneut zu prüfen.</w:t>
      </w:r>
    </w:p>
    <w:p>
      <w:pPr>
        <w:spacing w:after="40"/>
      </w:pPr>
      <w:r>
        <w:rPr>
          <w:rFonts w:ascii="DejaVu Sans" w:hAnsi="DejaVu Sans"/>
          <w:b/>
          <w:i w:val="0"/>
          <w:color w:val="101624"/>
          <w:sz w:val="17"/>
        </w:rPr>
        <w:t xml:space="preserve">§ 26 BDSG — </w:t>
      </w:r>
      <w:r>
        <w:rPr>
          <w:rFonts w:ascii="DejaVu Sans" w:hAnsi="DejaVu Sans"/>
          <w:b w:val="0"/>
          <w:i w:val="0"/>
          <w:color w:val="11131A"/>
          <w:sz w:val="17"/>
        </w:rPr>
        <w:t>Gesetzeswortlaut; Bewerbende sind nach Abs. 8 Satz 2 erfasst. Anwendbarkeit nach aktueller Rechtsprechung prüfen.</w:t>
      </w:r>
    </w:p>
    <w:p>
      <w:pPr>
        <w:spacing w:after="140"/>
      </w:pPr>
      <w:hyperlink r:id="rIdRelaunchLink1">
        <w:r>
          <w:rPr>
            <w:rFonts w:ascii="DejaVu Sans" w:hAnsi="DejaVu Sans"/>
            <w:b w:val="0"/>
            <w:i w:val="0"/>
            <w:color w:val="315EFB"/>
            <w:sz w:val="14"/>
          </w:rPr>
          <w:t>https://www.gesetze-im-internet.de/bdsg_2018/__26.html</w:t>
        </w:r>
      </w:hyperlink>
    </w:p>
    <w:p>
      <w:pPr>
        <w:spacing w:after="40"/>
      </w:pPr>
      <w:r>
        <w:rPr>
          <w:rFonts w:ascii="DejaVu Sans" w:hAnsi="DejaVu Sans"/>
          <w:b/>
          <w:i w:val="0"/>
          <w:color w:val="101624"/>
          <w:sz w:val="17"/>
        </w:rPr>
        <w:t xml:space="preserve">DSGVO — </w:t>
      </w:r>
      <w:r>
        <w:rPr>
          <w:rFonts w:ascii="DejaVu Sans" w:hAnsi="DejaVu Sans"/>
          <w:b w:val="0"/>
          <w:i w:val="0"/>
          <w:color w:val="11131A"/>
          <w:sz w:val="17"/>
        </w:rPr>
        <w:t>Insb. Art. 5, 6, 9, 10, 14, 22, 28, 32, 35 und 36.</w:t>
      </w:r>
    </w:p>
    <w:p>
      <w:pPr>
        <w:spacing w:after="140"/>
      </w:pPr>
      <w:hyperlink r:id="rIdRelaunchLink2">
        <w:r>
          <w:rPr>
            <w:rFonts w:ascii="DejaVu Sans" w:hAnsi="DejaVu Sans"/>
            <w:b w:val="0"/>
            <w:i w:val="0"/>
            <w:color w:val="315EFB"/>
            <w:sz w:val="14"/>
          </w:rPr>
          <w:t>https://eur-lex.europa.eu/eli/reg/2016/679/oj?locale=de</w:t>
        </w:r>
      </w:hyperlink>
    </w:p>
    <w:p>
      <w:pPr>
        <w:spacing w:after="40"/>
      </w:pPr>
      <w:r>
        <w:rPr>
          <w:rFonts w:ascii="DejaVu Sans" w:hAnsi="DejaVu Sans"/>
          <w:b/>
          <w:i w:val="0"/>
          <w:color w:val="101624"/>
          <w:sz w:val="17"/>
        </w:rPr>
        <w:t xml:space="preserve">BAG 8 AZR 209/21 — </w:t>
      </w:r>
      <w:r>
        <w:rPr>
          <w:rFonts w:ascii="DejaVu Sans" w:hAnsi="DejaVu Sans"/>
          <w:b w:val="0"/>
          <w:i w:val="0"/>
          <w:color w:val="11131A"/>
          <w:sz w:val="17"/>
        </w:rPr>
        <w:t>§ 26 Abs. 1 BDSG im geprüften Kontext unangewendet; unmittelbare Prüfung nach DSGVO.</w:t>
      </w:r>
    </w:p>
    <w:p>
      <w:pPr>
        <w:spacing w:after="140"/>
      </w:pPr>
      <w:hyperlink r:id="rIdRelaunchLink3">
        <w:r>
          <w:rPr>
            <w:rFonts w:ascii="DejaVu Sans" w:hAnsi="DejaVu Sans"/>
            <w:b w:val="0"/>
            <w:i w:val="0"/>
            <w:color w:val="315EFB"/>
            <w:sz w:val="14"/>
          </w:rPr>
          <w:t>https://www.bundesarbeitsgericht.de/entscheidung/8-azr-209-21/</w:t>
        </w:r>
      </w:hyperlink>
    </w:p>
    <w:p>
      <w:pPr>
        <w:spacing w:after="40"/>
      </w:pPr>
      <w:r>
        <w:rPr>
          <w:rFonts w:ascii="DejaVu Sans" w:hAnsi="DejaVu Sans"/>
          <w:b/>
          <w:i w:val="0"/>
          <w:color w:val="101624"/>
          <w:sz w:val="17"/>
        </w:rPr>
        <w:t xml:space="preserve">EuGH C-34/21 — </w:t>
      </w:r>
      <w:r>
        <w:rPr>
          <w:rFonts w:ascii="DejaVu Sans" w:hAnsi="DejaVu Sans"/>
          <w:b w:val="0"/>
          <w:i w:val="0"/>
          <w:color w:val="11131A"/>
          <w:sz w:val="17"/>
        </w:rPr>
        <w:t>Anforderungen des Art. 88 DSGVO an nationale Beschäftigtendatenschutzregeln.</w:t>
      </w:r>
    </w:p>
    <w:p>
      <w:pPr>
        <w:spacing w:after="140"/>
      </w:pPr>
      <w:hyperlink r:id="rIdRelaunchLink4">
        <w:r>
          <w:rPr>
            <w:rFonts w:ascii="DejaVu Sans" w:hAnsi="DejaVu Sans"/>
            <w:b w:val="0"/>
            <w:i w:val="0"/>
            <w:color w:val="315EFB"/>
            <w:sz w:val="14"/>
          </w:rPr>
          <w:t>https://infocuria.curia.europa.eu/tabs/document?docid=272066&amp;doclang=DE&amp;source=document</w:t>
        </w:r>
      </w:hyperlink>
    </w:p>
    <w:p>
      <w:pPr>
        <w:spacing w:after="40"/>
      </w:pPr>
      <w:r>
        <w:rPr>
          <w:rFonts w:ascii="DejaVu Sans" w:hAnsi="DejaVu Sans"/>
          <w:b/>
          <w:i w:val="0"/>
          <w:color w:val="101624"/>
          <w:sz w:val="17"/>
        </w:rPr>
        <w:t xml:space="preserve">AGG — </w:t>
      </w:r>
      <w:r>
        <w:rPr>
          <w:rFonts w:ascii="DejaVu Sans" w:hAnsi="DejaVu Sans"/>
          <w:b w:val="0"/>
          <w:i w:val="0"/>
          <w:color w:val="11131A"/>
          <w:sz w:val="17"/>
        </w:rPr>
        <w:t>Insb. §§ 1, 6 und 7; Benachteiligungsschutz gilt auch für Bewerbende.</w:t>
      </w:r>
    </w:p>
    <w:p>
      <w:pPr>
        <w:spacing w:after="140"/>
      </w:pPr>
      <w:hyperlink r:id="rIdRelaunchLink5">
        <w:r>
          <w:rPr>
            <w:rFonts w:ascii="DejaVu Sans" w:hAnsi="DejaVu Sans"/>
            <w:b w:val="0"/>
            <w:i w:val="0"/>
            <w:color w:val="315EFB"/>
            <w:sz w:val="14"/>
          </w:rPr>
          <w:t>https://www.gesetze-im-internet.de/agg/</w:t>
        </w:r>
      </w:hyperlink>
    </w:p>
    <w:p>
      <w:pPr>
        <w:spacing w:after="40"/>
      </w:pPr>
      <w:r>
        <w:rPr>
          <w:rFonts w:ascii="DejaVu Sans" w:hAnsi="DejaVu Sans"/>
          <w:b/>
          <w:i w:val="0"/>
          <w:color w:val="101624"/>
          <w:sz w:val="17"/>
        </w:rPr>
        <w:t xml:space="preserve">EDSA Leitlinien 07/2020 — </w:t>
      </w:r>
      <w:r>
        <w:rPr>
          <w:rFonts w:ascii="DejaVu Sans" w:hAnsi="DejaVu Sans"/>
          <w:b w:val="0"/>
          <w:i w:val="0"/>
          <w:color w:val="11131A"/>
          <w:sz w:val="17"/>
        </w:rPr>
        <w:t>Tatsächliche Rollen und Entscheidungskompetenzen sind maßgeblich.</w:t>
      </w:r>
    </w:p>
    <w:p>
      <w:pPr>
        <w:spacing w:after="140"/>
      </w:pPr>
      <w:hyperlink r:id="rIdRelaunchLink6">
        <w:r>
          <w:rPr>
            <w:rFonts w:ascii="DejaVu Sans" w:hAnsi="DejaVu Sans"/>
            <w:b w:val="0"/>
            <w:i w:val="0"/>
            <w:color w:val="315EFB"/>
            <w:sz w:val="14"/>
          </w:rPr>
          <w:t>https://www.edpb.europa.eu/our-work-tools/our-documents/guidelines/guidelines-072020-concepts-controller-and-processor-gdpr_en</w:t>
        </w:r>
      </w:hyperlink>
    </w:p>
    <w:p>
      <w:pPr>
        <w:spacing w:after="40"/>
      </w:pPr>
      <w:r>
        <w:rPr>
          <w:rFonts w:ascii="DejaVu Sans" w:hAnsi="DejaVu Sans"/>
          <w:b/>
          <w:i w:val="0"/>
          <w:color w:val="101624"/>
          <w:sz w:val="17"/>
        </w:rPr>
        <w:t xml:space="preserve">Berliner DSFA-Muss-Liste — </w:t>
      </w:r>
      <w:r>
        <w:rPr>
          <w:rFonts w:ascii="DejaVu Sans" w:hAnsi="DejaVu Sans"/>
          <w:b w:val="0"/>
          <w:i w:val="0"/>
          <w:color w:val="11131A"/>
          <w:sz w:val="17"/>
        </w:rPr>
        <w:t>Prüfung von Verarbeitungsvorgängen mit voraussichtlich hohem Risiko.</w:t>
      </w:r>
    </w:p>
    <w:p>
      <w:pPr>
        <w:spacing w:after="140"/>
      </w:pPr>
      <w:hyperlink r:id="rIdRelaunchLink7">
        <w:r>
          <w:rPr>
            <w:rFonts w:ascii="DejaVu Sans" w:hAnsi="DejaVu Sans"/>
            <w:b w:val="0"/>
            <w:i w:val="0"/>
            <w:color w:val="315EFB"/>
            <w:sz w:val="14"/>
          </w:rPr>
          <w:t>https://www.datenschutz-berlin.de/fileadmin/user_upload/pdf/dokumente/2018-BlnBDI_DSFA-nicht-oeffentlich.pdf</w:t>
        </w:r>
      </w:hyperlink>
    </w:p>
    <w:p>
      <w:pPr>
        <w:spacing w:after="40"/>
      </w:pPr>
      <w:r>
        <w:rPr>
          <w:rFonts w:ascii="DejaVu Sans" w:hAnsi="DejaVu Sans"/>
          <w:b/>
          <w:i w:val="0"/>
          <w:color w:val="101624"/>
          <w:sz w:val="17"/>
        </w:rPr>
        <w:t xml:space="preserve">DSK Beschäftigtendatenschutz — </w:t>
      </w:r>
      <w:r>
        <w:rPr>
          <w:rFonts w:ascii="DejaVu Sans" w:hAnsi="DejaVu Sans"/>
          <w:b w:val="0"/>
          <w:i w:val="0"/>
          <w:color w:val="11131A"/>
          <w:sz w:val="17"/>
        </w:rPr>
        <w:t>Frühe Aufsichtsposition zu systematischer Internetrecherche und Transparenz.</w:t>
      </w:r>
    </w:p>
    <w:p>
      <w:pPr>
        <w:spacing w:after="140"/>
      </w:pPr>
      <w:hyperlink r:id="rIdRelaunchLink8">
        <w:r>
          <w:rPr>
            <w:rFonts w:ascii="DejaVu Sans" w:hAnsi="DejaVu Sans"/>
            <w:b w:val="0"/>
            <w:i w:val="0"/>
            <w:color w:val="315EFB"/>
            <w:sz w:val="14"/>
          </w:rPr>
          <w:t>https://www.datenschutz-berlin.de/fileadmin/user_upload/pdf/publikationen/DSK/2010/2010-DSK-Beschaeftigtendatenschutz.pdf</w:t>
        </w:r>
      </w:hyperlink>
    </w:p>
    <w:tbl>
      <w:tblPr>
        <w:tblW w:type="auto" w:w="0"/>
        <w:jc w:val="center"/>
        <w:tblLayout w:type="fixed"/>
        <w:tblLook w:firstColumn="1" w:firstRow="1" w:lastColumn="0" w:lastRow="0" w:noHBand="0" w:noVBand="1" w:val="04A0"/>
      </w:tblPr>
      <w:tblGrid>
        <w:gridCol w:w="9978"/>
      </w:tblGrid>
      <w:tr>
        <w:tc>
          <w:tcPr>
            <w:tcW w:type="dxa" w:w="9978"/>
            <w:shd w:fill="FFF5D9"/>
            <w:tcBorders>
              <w:top w:val="single" w:sz="7" w:color="E6D6A6"/>
              <w:left w:val="single" w:sz="7" w:color="E6D6A6"/>
              <w:bottom w:val="single" w:sz="7" w:color="E6D6A6"/>
              <w:right w:val="single" w:sz="7" w:color="E6D6A6"/>
              <w:insideH w:val="single" w:sz="7" w:color="E6D6A6"/>
              <w:insideV w:val="single" w:sz="7" w:color="E6D6A6"/>
            </w:tcBorders>
            <w:tcMar>
              <w:top w:w="170" w:type="dxa"/>
              <w:start w:w="190" w:type="dxa"/>
              <w:bottom w:w="170" w:type="dxa"/>
              <w:end w:w="190" w:type="dxa"/>
            </w:tcMar>
          </w:tcPr>
          <w:p>
            <w:pPr>
              <w:spacing w:after="60"/>
            </w:pPr>
            <w:r>
              <w:rPr>
                <w:rFonts w:ascii="DejaVu Sans" w:hAnsi="DejaVu Sans"/>
                <w:b/>
                <w:i w:val="0"/>
                <w:color w:val="101624"/>
                <w:sz w:val="18"/>
              </w:rPr>
              <w:t>Haftungs- und Verwendungshinweis</w:t>
            </w:r>
          </w:p>
          <w:p>
            <w:pPr>
              <w:spacing w:after="0" w:line="283" w:lineRule="auto"/>
            </w:pPr>
            <w:r>
              <w:rPr>
                <w:rFonts w:ascii="DejaVu Sans" w:hAnsi="DejaVu Sans"/>
                <w:b w:val="0"/>
                <w:i w:val="0"/>
                <w:color w:val="11131A"/>
                <w:sz w:val="17"/>
              </w:rPr>
              <w:t>Dieses Dokument ist ein sorgfältig erstelltes Organisations- und Dokumentationsmuster. Es ist keine individuelle Rechtsberatung und keine Garantie der Zulässigkeit eines konkreten Screenings. Der Auftraggeber muss die konkrete Verarbeitung, Branche, Position, Quelle, Rechtsgrundlage und Beteiligungsrechte vor jedem Mandat eigenverantwortlich prüfen und freigeben.</w:t>
            </w:r>
          </w:p>
        </w:tc>
      </w:tr>
    </w:tbl>
    <w:p>
      <w:pPr>
        <w:keepNext w:val="0"/>
        <w:spacing w:before="0" w:after="60" w:line="278" w:lineRule="auto"/>
        <w:jc w:val="left"/>
      </w:pPr>
    </w:p>
    <w:p>
      <w:pPr>
        <w:keepNext w:val="0"/>
        <w:spacing w:before="200" w:after="100" w:line="278" w:lineRule="auto"/>
        <w:jc w:val="left"/>
      </w:pPr>
      <w:r>
        <w:rPr>
          <w:rFonts w:ascii="DejaVu Sans" w:hAnsi="DejaVu Sans"/>
          <w:b/>
          <w:i w:val="0"/>
          <w:color w:val="101624"/>
          <w:sz w:val="17"/>
        </w:rPr>
        <w:t xml:space="preserve">Nicolas Glesel · OSINT &amp; Digital Security · kontakt@nicolasglesel.de · </w:t>
      </w:r>
      <w:hyperlink r:id="rIdRelaunchLink9">
        <w:r>
          <w:rPr>
            <w:rFonts w:ascii="DejaVu Sans" w:hAnsi="DejaVu Sans"/>
            <w:b/>
            <w:i w:val="0"/>
            <w:color w:val="101624"/>
            <w:sz w:val="17"/>
          </w:rPr>
          <w:t>https://nicolasglesel.de/screening</w:t>
        </w:r>
      </w:hyperlink>
    </w:p>
    <w:sectPr>
      <w:headerReference w:type="default" r:id="rId9"/>
      <w:footerReference w:type="default" r:id="rId10"/>
      <w:pgSz w:w="11906" w:h="16838"/>
      <w:pgMar w:top="907" w:right="964" w:bottom="907" w:left="96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7030"/>
      <w:gridCol w:w="2948"/>
    </w:tblGrid>
    <w:tr>
      <w:tc>
        <w:tcPr>
          <w:tcW w:type="dxa" w:w="4989"/>
          <w:tcMar>
            <w:top w:w="40" w:type="dxa"/>
            <w:start w:w="0" w:type="dxa"/>
            <w:bottom w:w="0" w:type="dxa"/>
            <w:end w:w="0" w:type="dxa"/>
          </w:tcMar>
        </w:tcPr>
        <w:p>
          <w:r>
            <w:rPr>
              <w:rFonts w:ascii="DejaVu Sans" w:hAnsi="DejaVu Sans"/>
              <w:b w:val="0"/>
              <w:i w:val="0"/>
              <w:color w:val="5E6875"/>
              <w:sz w:val="13"/>
            </w:rPr>
            <w:t>Pre-Employment Screening · Musterstand 25.09.2026</w:t>
          </w:r>
        </w:p>
      </w:tc>
      <w:tc>
        <w:tcPr>
          <w:tcW w:type="dxa" w:w="4989"/>
          <w:tcMar>
            <w:top w:w="40" w:type="dxa"/>
            <w:start w:w="0" w:type="dxa"/>
            <w:bottom w:w="0" w:type="dxa"/>
            <w:end w:w="0" w:type="dxa"/>
          </w:tcMar>
        </w:tcPr>
        <w:p>
          <w:pPr>
            <w:jc w:val="right"/>
          </w:pPr>
          <w:r>
            <w:rPr>
              <w:rFonts w:ascii="DejaVu Sans" w:hAnsi="DejaVu Sans"/>
              <w:b w:val="0"/>
              <w:i w:val="0"/>
              <w:color w:val="5E6875"/>
              <w:sz w:val="13"/>
            </w:rPr>
            <w:t>Vertraulich · nicolasglesel.de</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ejaVu Sans" w:hAnsi="DejaVu Sans"/>
        <w:b/>
        <w:i w:val="0"/>
        <w:color w:val="5E6875"/>
        <w:sz w:val="13"/>
      </w:rPr>
      <w:t>NICOLAS GLESEL  ·  OSINT &amp; DIGITAL SECURITY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8" w:lineRule="auto"/>
    </w:pPr>
    <w:rPr>
      <w:rFonts w:ascii="DejaVu Sans" w:hAnsi="DejaVu Sans"/>
      <w:color w:val="11131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RelaunchLink1" Type="http://schemas.openxmlformats.org/officeDocument/2006/relationships/hyperlink" Target="https://www.gesetze-im-internet.de/bdsg_2018/__26.html" TargetMode="External"/><Relationship Id="rIdRelaunchLink2" Type="http://schemas.openxmlformats.org/officeDocument/2006/relationships/hyperlink" Target="https://eur-lex.europa.eu/eli/reg/2016/679/oj?locale=de" TargetMode="External"/><Relationship Id="rIdRelaunchLink3" Type="http://schemas.openxmlformats.org/officeDocument/2006/relationships/hyperlink" Target="https://www.bundesarbeitsgericht.de/entscheidung/8-azr-209-21/" TargetMode="External"/><Relationship Id="rIdRelaunchLink4" Type="http://schemas.openxmlformats.org/officeDocument/2006/relationships/hyperlink" Target="https://infocuria.curia.europa.eu/tabs/document?docid=272066&amp;doclang=DE&amp;source=document" TargetMode="External"/><Relationship Id="rIdRelaunchLink5" Type="http://schemas.openxmlformats.org/officeDocument/2006/relationships/hyperlink" Target="https://www.gesetze-im-internet.de/agg/" TargetMode="External"/><Relationship Id="rIdRelaunchLink6" Type="http://schemas.openxmlformats.org/officeDocument/2006/relationships/hyperlink" Target="https://www.edpb.europa.eu/our-work-tools/our-documents/guidelines/guidelines-072020-concepts-controller-and-processor-gdpr_en" TargetMode="External"/><Relationship Id="rIdRelaunchLink7" Type="http://schemas.openxmlformats.org/officeDocument/2006/relationships/hyperlink" Target="https://www.datenschutz-berlin.de/fileadmin/user_upload/pdf/dokumente/2018-BlnBDI_DSFA-nicht-oeffentlich.pdf" TargetMode="External"/><Relationship Id="rIdRelaunchLink8" Type="http://schemas.openxmlformats.org/officeDocument/2006/relationships/hyperlink" Target="https://www.datenschutz-berlin.de/fileadmin/user_upload/pdf/publikationen/DSK/2010/2010-DSK-Beschaeftigtendatenschutz.pdf" TargetMode="External"/><Relationship Id="rIdRelaunchLink9" Type="http://schemas.openxmlformats.org/officeDocument/2006/relationships/hyperlink" Target="https://nicolasglesel.de/scree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Auftrags- und Freigabebogen Pre-Employment Screening</dc:title>
  <dc:subject>Prüfrahmen, Datenschutz, TOMs und DSFA-Schwellenprüfung</dc:subject>
  <dc:creator/>
  <cp:keywords>Pre-Employment Screening, OSINT, DSGVO, BDSG, DSFA, AGG</cp:keywords>
  <dc:description>generated by python-docx</dc:description>
  <cp:revision>1</cp:revision>
  <dcterms:modified xsi:type="dcterms:W3CDTF">2026-09-24T19:38:00Z</dcterms:modified>
  <cp:category/>
  <dc:language>de-DE</dc:language>
</cp:coreProperties>
</file>